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09A" w:rsidRPr="00C3386C" w:rsidRDefault="0071009A" w:rsidP="00C86BFA">
      <w:pPr>
        <w:spacing w:before="0" w:after="0"/>
        <w:jc w:val="center"/>
        <w:rPr>
          <w:b/>
          <w:color w:val="779C1A"/>
          <w:sz w:val="28"/>
          <w:szCs w:val="28"/>
        </w:rPr>
      </w:pPr>
      <w:bookmarkStart w:id="0" w:name="_GoBack"/>
      <w:bookmarkEnd w:id="0"/>
      <w:r w:rsidRPr="00C3386C">
        <w:rPr>
          <w:b/>
          <w:color w:val="779C1A"/>
          <w:sz w:val="28"/>
          <w:szCs w:val="28"/>
        </w:rPr>
        <w:t>Hertfordshire County Council</w:t>
      </w:r>
    </w:p>
    <w:p w:rsidR="0071009A" w:rsidRDefault="00EC6174" w:rsidP="00C86BFA">
      <w:pPr>
        <w:spacing w:before="0" w:after="0"/>
        <w:jc w:val="center"/>
        <w:rPr>
          <w:b/>
          <w:color w:val="779C1A"/>
          <w:sz w:val="28"/>
          <w:szCs w:val="28"/>
        </w:rPr>
      </w:pPr>
      <w:r>
        <w:rPr>
          <w:b/>
          <w:color w:val="779C1A"/>
          <w:sz w:val="28"/>
          <w:szCs w:val="28"/>
        </w:rPr>
        <w:t xml:space="preserve">HCS - </w:t>
      </w:r>
      <w:r w:rsidR="0071009A" w:rsidRPr="00C3386C">
        <w:rPr>
          <w:b/>
          <w:color w:val="779C1A"/>
          <w:sz w:val="28"/>
          <w:szCs w:val="28"/>
        </w:rPr>
        <w:t>Gypsy Section</w:t>
      </w:r>
    </w:p>
    <w:p w:rsidR="00656B46" w:rsidRPr="00656B46" w:rsidRDefault="00656B46" w:rsidP="00C86BFA">
      <w:pPr>
        <w:spacing w:before="0" w:after="0"/>
        <w:jc w:val="center"/>
        <w:rPr>
          <w:b/>
          <w:color w:val="779C1A"/>
          <w:sz w:val="10"/>
          <w:szCs w:val="10"/>
        </w:rPr>
      </w:pPr>
    </w:p>
    <w:p w:rsidR="00C3386C" w:rsidRPr="0094685A" w:rsidRDefault="00C3386C" w:rsidP="00C86BFA">
      <w:pPr>
        <w:spacing w:before="0" w:after="0"/>
        <w:jc w:val="center"/>
        <w:rPr>
          <w:b/>
          <w:color w:val="779C1A"/>
          <w:sz w:val="10"/>
          <w:szCs w:val="10"/>
        </w:rPr>
      </w:pPr>
    </w:p>
    <w:p w:rsidR="002425D9" w:rsidRPr="00656B46" w:rsidRDefault="00656B46" w:rsidP="002425D9">
      <w:pPr>
        <w:spacing w:before="0" w:after="0"/>
        <w:jc w:val="center"/>
        <w:rPr>
          <w:b/>
          <w:color w:val="3B3838" w:themeColor="background2" w:themeShade="40"/>
          <w:sz w:val="32"/>
          <w:szCs w:val="32"/>
        </w:rPr>
      </w:pPr>
      <w:r w:rsidRPr="00656B46">
        <w:rPr>
          <w:b/>
          <w:color w:val="3B3838" w:themeColor="background2" w:themeShade="40"/>
          <w:sz w:val="32"/>
          <w:szCs w:val="32"/>
        </w:rPr>
        <w:t>HOW TO GET ON THE WAITING LIST AND</w:t>
      </w:r>
    </w:p>
    <w:p w:rsidR="00656B46" w:rsidRDefault="00656B46" w:rsidP="002425D9">
      <w:pPr>
        <w:spacing w:before="0" w:after="0"/>
        <w:jc w:val="center"/>
        <w:rPr>
          <w:b/>
          <w:color w:val="3B3838" w:themeColor="background2" w:themeShade="40"/>
          <w:sz w:val="32"/>
          <w:szCs w:val="32"/>
        </w:rPr>
      </w:pPr>
      <w:r w:rsidRPr="00656B46">
        <w:rPr>
          <w:b/>
          <w:color w:val="3B3838" w:themeColor="background2" w:themeShade="40"/>
          <w:sz w:val="32"/>
          <w:szCs w:val="32"/>
        </w:rPr>
        <w:t>WHAT WE LOOK FOR WHEN SELECTING A TENANT</w:t>
      </w:r>
    </w:p>
    <w:p w:rsidR="00656B46" w:rsidRDefault="00656B46" w:rsidP="002425D9">
      <w:pPr>
        <w:spacing w:before="0" w:after="0"/>
        <w:jc w:val="center"/>
        <w:rPr>
          <w:b/>
          <w:color w:val="3B3838" w:themeColor="background2" w:themeShade="40"/>
          <w:sz w:val="32"/>
          <w:szCs w:val="32"/>
        </w:rPr>
      </w:pPr>
    </w:p>
    <w:tbl>
      <w:tblPr>
        <w:tblStyle w:val="TableGrid"/>
        <w:tblW w:w="0" w:type="auto"/>
        <w:tblLook w:val="04A0" w:firstRow="1" w:lastRow="0" w:firstColumn="1" w:lastColumn="0" w:noHBand="0" w:noVBand="1"/>
      </w:tblPr>
      <w:tblGrid>
        <w:gridCol w:w="10054"/>
      </w:tblGrid>
      <w:tr w:rsidR="00656B46" w:rsidTr="00656B46">
        <w:trPr>
          <w:trHeight w:val="422"/>
        </w:trPr>
        <w:tc>
          <w:tcPr>
            <w:tcW w:w="10054" w:type="dxa"/>
            <w:tcBorders>
              <w:bottom w:val="nil"/>
            </w:tcBorders>
            <w:shd w:val="clear" w:color="auto" w:fill="C2D69B"/>
            <w:vAlign w:val="center"/>
          </w:tcPr>
          <w:p w:rsidR="00656B46" w:rsidRPr="00656B46" w:rsidRDefault="00656B46" w:rsidP="00656B46">
            <w:pPr>
              <w:pStyle w:val="ListParagraph"/>
              <w:numPr>
                <w:ilvl w:val="0"/>
                <w:numId w:val="12"/>
              </w:numPr>
              <w:ind w:left="454" w:hanging="425"/>
              <w:rPr>
                <w:b/>
                <w:color w:val="3B3838" w:themeColor="background2" w:themeShade="40"/>
                <w:sz w:val="22"/>
                <w:szCs w:val="22"/>
              </w:rPr>
            </w:pPr>
            <w:r w:rsidRPr="00656B46">
              <w:rPr>
                <w:b/>
                <w:color w:val="3B3838" w:themeColor="background2" w:themeShade="40"/>
                <w:sz w:val="22"/>
                <w:szCs w:val="22"/>
              </w:rPr>
              <w:t>How to apply for a pitch</w:t>
            </w:r>
          </w:p>
        </w:tc>
      </w:tr>
      <w:tr w:rsidR="00656B46" w:rsidTr="00656B46">
        <w:tc>
          <w:tcPr>
            <w:tcW w:w="10054" w:type="dxa"/>
            <w:tcBorders>
              <w:top w:val="nil"/>
            </w:tcBorders>
          </w:tcPr>
          <w:p w:rsidR="00656B46" w:rsidRDefault="00656B46" w:rsidP="00656B46">
            <w:pPr>
              <w:jc w:val="both"/>
              <w:rPr>
                <w:rFonts w:cs="Arial"/>
                <w:sz w:val="22"/>
                <w:szCs w:val="22"/>
              </w:rPr>
            </w:pPr>
          </w:p>
          <w:p w:rsidR="00656B46" w:rsidRDefault="00656B46" w:rsidP="00086DC2">
            <w:pPr>
              <w:ind w:right="170"/>
              <w:jc w:val="both"/>
              <w:rPr>
                <w:rFonts w:cs="Arial"/>
                <w:sz w:val="22"/>
                <w:szCs w:val="22"/>
              </w:rPr>
            </w:pPr>
            <w:r w:rsidRPr="00194EBF">
              <w:rPr>
                <w:rFonts w:cs="Arial"/>
                <w:sz w:val="22"/>
                <w:szCs w:val="22"/>
              </w:rPr>
              <w:t>Those wishing to apply for a pitch on a County Council site, fill in an application form giving information about those who would live on the pitch, the number of caravans involved, any special factors such as health, welfare, or education problems and sites that they would be prepared to consider.</w:t>
            </w:r>
          </w:p>
          <w:p w:rsidR="00656B46" w:rsidRDefault="00656B46" w:rsidP="00086DC2">
            <w:pPr>
              <w:ind w:right="170"/>
              <w:jc w:val="both"/>
              <w:rPr>
                <w:rFonts w:cs="Arial"/>
                <w:sz w:val="22"/>
                <w:szCs w:val="22"/>
              </w:rPr>
            </w:pPr>
          </w:p>
          <w:p w:rsidR="00656B46" w:rsidRDefault="00656B46" w:rsidP="00086DC2">
            <w:pPr>
              <w:ind w:right="170"/>
              <w:jc w:val="both"/>
              <w:rPr>
                <w:rFonts w:cs="Arial"/>
                <w:sz w:val="22"/>
                <w:szCs w:val="22"/>
              </w:rPr>
            </w:pPr>
            <w:r w:rsidRPr="00194EBF">
              <w:rPr>
                <w:rFonts w:cs="Arial"/>
                <w:sz w:val="22"/>
                <w:szCs w:val="22"/>
              </w:rPr>
              <w:t>Applicants are then given a registration card and have to re-register every year otherwise their application for a pitch is considered to have lapsed.</w:t>
            </w:r>
          </w:p>
          <w:p w:rsidR="00656B46" w:rsidRDefault="00656B46" w:rsidP="00086DC2">
            <w:pPr>
              <w:ind w:right="170"/>
              <w:jc w:val="both"/>
              <w:rPr>
                <w:rFonts w:cs="Arial"/>
                <w:sz w:val="22"/>
                <w:szCs w:val="22"/>
              </w:rPr>
            </w:pPr>
          </w:p>
          <w:p w:rsidR="00656B46" w:rsidRDefault="00656B46" w:rsidP="00086DC2">
            <w:pPr>
              <w:ind w:right="170"/>
              <w:jc w:val="both"/>
              <w:rPr>
                <w:rFonts w:cs="Arial"/>
                <w:sz w:val="22"/>
                <w:szCs w:val="22"/>
              </w:rPr>
            </w:pPr>
            <w:r w:rsidRPr="00194EBF">
              <w:rPr>
                <w:rFonts w:cs="Arial"/>
                <w:sz w:val="22"/>
                <w:szCs w:val="22"/>
              </w:rPr>
              <w:t>The vacancies that are actually offered are usually available after people already on sites have had the opportunity to transfer from one pitch to another or from one site to another.  It is not unusual for people to move onto one site initially on the basis that they will be offered a pitch on their preferred site when one becomes available.  Moves of people between sites provide the Gypsy Section with opportunities to ensure that tenants of a site are able to live together as good neighbours.</w:t>
            </w:r>
          </w:p>
          <w:p w:rsidR="00656B46" w:rsidRPr="00656B46" w:rsidRDefault="00656B46" w:rsidP="00656B46">
            <w:pPr>
              <w:jc w:val="both"/>
              <w:rPr>
                <w:rFonts w:cs="Arial"/>
                <w:sz w:val="22"/>
                <w:szCs w:val="22"/>
              </w:rPr>
            </w:pPr>
          </w:p>
        </w:tc>
      </w:tr>
    </w:tbl>
    <w:p w:rsidR="00656B46" w:rsidRDefault="00656B46" w:rsidP="002425D9">
      <w:pPr>
        <w:spacing w:before="0" w:after="0"/>
        <w:jc w:val="center"/>
        <w:rPr>
          <w:b/>
          <w:color w:val="3B3838" w:themeColor="background2" w:themeShade="40"/>
          <w:sz w:val="32"/>
          <w:szCs w:val="32"/>
        </w:rPr>
      </w:pPr>
    </w:p>
    <w:tbl>
      <w:tblPr>
        <w:tblStyle w:val="TableGrid"/>
        <w:tblW w:w="0" w:type="auto"/>
        <w:tblLook w:val="04A0" w:firstRow="1" w:lastRow="0" w:firstColumn="1" w:lastColumn="0" w:noHBand="0" w:noVBand="1"/>
      </w:tblPr>
      <w:tblGrid>
        <w:gridCol w:w="10054"/>
      </w:tblGrid>
      <w:tr w:rsidR="00656B46" w:rsidTr="00601548">
        <w:trPr>
          <w:trHeight w:val="422"/>
        </w:trPr>
        <w:tc>
          <w:tcPr>
            <w:tcW w:w="10054" w:type="dxa"/>
            <w:tcBorders>
              <w:bottom w:val="nil"/>
            </w:tcBorders>
            <w:shd w:val="clear" w:color="auto" w:fill="C2D69B"/>
            <w:vAlign w:val="center"/>
          </w:tcPr>
          <w:p w:rsidR="00656B46" w:rsidRPr="00656B46" w:rsidRDefault="00656B46" w:rsidP="00656B46">
            <w:pPr>
              <w:pStyle w:val="ListParagraph"/>
              <w:numPr>
                <w:ilvl w:val="0"/>
                <w:numId w:val="12"/>
              </w:numPr>
              <w:ind w:left="454"/>
              <w:rPr>
                <w:b/>
                <w:color w:val="3B3838" w:themeColor="background2" w:themeShade="40"/>
                <w:sz w:val="22"/>
                <w:szCs w:val="22"/>
              </w:rPr>
            </w:pPr>
            <w:r w:rsidRPr="00656B46">
              <w:rPr>
                <w:rFonts w:cs="Arial"/>
                <w:b/>
                <w:iCs/>
                <w:sz w:val="22"/>
                <w:szCs w:val="22"/>
              </w:rPr>
              <w:t xml:space="preserve">Our </w:t>
            </w:r>
            <w:r>
              <w:rPr>
                <w:rFonts w:cs="Arial"/>
                <w:b/>
                <w:iCs/>
                <w:sz w:val="22"/>
                <w:szCs w:val="22"/>
              </w:rPr>
              <w:t>main o</w:t>
            </w:r>
            <w:r w:rsidRPr="00656B46">
              <w:rPr>
                <w:rFonts w:cs="Arial"/>
                <w:b/>
                <w:iCs/>
                <w:sz w:val="22"/>
                <w:szCs w:val="22"/>
              </w:rPr>
              <w:t xml:space="preserve">bjective – The </w:t>
            </w:r>
            <w:r>
              <w:rPr>
                <w:rFonts w:cs="Arial"/>
                <w:b/>
                <w:iCs/>
                <w:sz w:val="22"/>
                <w:szCs w:val="22"/>
              </w:rPr>
              <w:t>most important factor when selecting a</w:t>
            </w:r>
            <w:r w:rsidRPr="00656B46">
              <w:rPr>
                <w:rFonts w:cs="Arial"/>
                <w:b/>
                <w:iCs/>
                <w:sz w:val="22"/>
                <w:szCs w:val="22"/>
              </w:rPr>
              <w:t xml:space="preserve"> </w:t>
            </w:r>
            <w:r>
              <w:rPr>
                <w:rFonts w:cs="Arial"/>
                <w:b/>
                <w:iCs/>
                <w:sz w:val="22"/>
                <w:szCs w:val="22"/>
              </w:rPr>
              <w:t>t</w:t>
            </w:r>
            <w:r w:rsidRPr="00656B46">
              <w:rPr>
                <w:rFonts w:cs="Arial"/>
                <w:b/>
                <w:iCs/>
                <w:sz w:val="22"/>
                <w:szCs w:val="22"/>
              </w:rPr>
              <w:t>enant</w:t>
            </w:r>
          </w:p>
        </w:tc>
      </w:tr>
      <w:tr w:rsidR="00656B46" w:rsidTr="00601548">
        <w:tc>
          <w:tcPr>
            <w:tcW w:w="10054" w:type="dxa"/>
            <w:tcBorders>
              <w:top w:val="nil"/>
            </w:tcBorders>
          </w:tcPr>
          <w:p w:rsidR="00656B46" w:rsidRDefault="00656B46" w:rsidP="00601548">
            <w:pPr>
              <w:jc w:val="both"/>
              <w:rPr>
                <w:rFonts w:cs="Arial"/>
                <w:sz w:val="22"/>
                <w:szCs w:val="22"/>
              </w:rPr>
            </w:pPr>
          </w:p>
          <w:p w:rsidR="00656B46" w:rsidRPr="00656B46" w:rsidRDefault="00656B46" w:rsidP="00086DC2">
            <w:pPr>
              <w:pStyle w:val="BodyTextIndent"/>
              <w:tabs>
                <w:tab w:val="left" w:pos="9668"/>
              </w:tabs>
              <w:ind w:left="0" w:right="170" w:firstLine="0"/>
              <w:rPr>
                <w:rFonts w:asciiTheme="minorHAnsi" w:hAnsiTheme="minorHAnsi" w:cs="Arial"/>
              </w:rPr>
            </w:pPr>
            <w:r w:rsidRPr="00656B46">
              <w:rPr>
                <w:rFonts w:asciiTheme="minorHAnsi" w:hAnsiTheme="minorHAnsi" w:cs="Arial"/>
              </w:rPr>
              <w:t xml:space="preserve">Following the repeal of Part II of the Caravan Sites Act 1968 by the Criminal Justice and Public Order Act 1994 the County Council </w:t>
            </w:r>
            <w:r w:rsidRPr="00656B46">
              <w:rPr>
                <w:rFonts w:asciiTheme="minorHAnsi" w:hAnsiTheme="minorHAnsi" w:cs="Arial"/>
                <w:u w:val="single"/>
              </w:rPr>
              <w:t>does not</w:t>
            </w:r>
            <w:r w:rsidRPr="00656B46">
              <w:rPr>
                <w:rFonts w:asciiTheme="minorHAnsi" w:hAnsiTheme="minorHAnsi" w:cs="Arial"/>
              </w:rPr>
              <w:t xml:space="preserve"> have a duty to provide accommodation to Gypsies.  Those applicants who are or whose families contain persons who have serious health/disability problems, are pregnant or have children under 16 years old are therefore encouraged to apply for housing with the local district or borough council for the area where they live, as it will probably have a duty at law to provide accommodation.</w:t>
            </w:r>
          </w:p>
          <w:p w:rsidR="00656B46" w:rsidRPr="00656B46" w:rsidRDefault="00656B46" w:rsidP="00086DC2">
            <w:pPr>
              <w:tabs>
                <w:tab w:val="left" w:pos="567"/>
                <w:tab w:val="left" w:pos="9668"/>
              </w:tabs>
              <w:ind w:right="170"/>
              <w:jc w:val="both"/>
              <w:rPr>
                <w:rFonts w:cs="Arial"/>
                <w:sz w:val="22"/>
                <w:szCs w:val="22"/>
              </w:rPr>
            </w:pPr>
          </w:p>
          <w:p w:rsidR="00656B46" w:rsidRPr="00656B46" w:rsidRDefault="00656B46" w:rsidP="00086DC2">
            <w:pPr>
              <w:tabs>
                <w:tab w:val="left" w:pos="567"/>
                <w:tab w:val="left" w:pos="9668"/>
              </w:tabs>
              <w:ind w:right="170"/>
              <w:jc w:val="both"/>
              <w:rPr>
                <w:rFonts w:cs="Arial"/>
                <w:sz w:val="22"/>
                <w:szCs w:val="22"/>
              </w:rPr>
            </w:pPr>
            <w:r w:rsidRPr="00656B46">
              <w:rPr>
                <w:rFonts w:cs="Arial"/>
                <w:sz w:val="22"/>
                <w:szCs w:val="22"/>
              </w:rPr>
              <w:t>It is recognised by the County Council and the Government (see Chapter 2 of The Good Practice Guide published by the DETR/Home Office in Autumn 1998) that different Gypsy and Traveller groups have different characteristics and patterns of behaviour and that these groups rarely mix without friction.  Gypsies and Irish Travellers are recognised ethnic minority groups for the purposes of the Race Relation Act 1976, identified as having a shared culture, language and beliefs.</w:t>
            </w:r>
          </w:p>
          <w:p w:rsidR="00656B46" w:rsidRPr="00656B46" w:rsidRDefault="00656B46" w:rsidP="00086DC2">
            <w:pPr>
              <w:tabs>
                <w:tab w:val="left" w:pos="567"/>
                <w:tab w:val="left" w:pos="9668"/>
              </w:tabs>
              <w:ind w:right="170"/>
              <w:jc w:val="both"/>
              <w:rPr>
                <w:rFonts w:cs="Arial"/>
                <w:sz w:val="22"/>
                <w:szCs w:val="22"/>
              </w:rPr>
            </w:pPr>
          </w:p>
          <w:p w:rsidR="00656B46" w:rsidRPr="00656B46" w:rsidRDefault="00656B46" w:rsidP="00086DC2">
            <w:pPr>
              <w:tabs>
                <w:tab w:val="left" w:pos="567"/>
                <w:tab w:val="left" w:pos="9668"/>
              </w:tabs>
              <w:ind w:right="170"/>
              <w:jc w:val="both"/>
              <w:rPr>
                <w:rFonts w:cs="Arial"/>
                <w:sz w:val="22"/>
                <w:szCs w:val="22"/>
              </w:rPr>
            </w:pPr>
            <w:r w:rsidRPr="00656B46">
              <w:rPr>
                <w:rFonts w:cs="Arial"/>
                <w:sz w:val="22"/>
                <w:szCs w:val="22"/>
              </w:rPr>
              <w:t>It is recognised by the County Council and the Government (see Chapter 3 of The Good Practice Guide published by the DETR/Home Office in Autumn 1998) that some Gypsies do not adjust easily to living in conventional housing.  Therefore those gypsies on the waiting list who are in conventional housing will be considered in accordance with this system in the same way as anyone else on the waiting list who has a different form of accommodation.</w:t>
            </w:r>
          </w:p>
          <w:p w:rsidR="00656B46" w:rsidRPr="00656B46" w:rsidRDefault="00656B46" w:rsidP="00086DC2">
            <w:pPr>
              <w:tabs>
                <w:tab w:val="left" w:pos="567"/>
                <w:tab w:val="left" w:pos="9668"/>
              </w:tabs>
              <w:ind w:right="170"/>
              <w:jc w:val="both"/>
              <w:rPr>
                <w:rFonts w:cs="Arial"/>
                <w:sz w:val="22"/>
                <w:szCs w:val="22"/>
              </w:rPr>
            </w:pPr>
          </w:p>
          <w:p w:rsidR="00656B46" w:rsidRDefault="00656B46" w:rsidP="00086DC2">
            <w:pPr>
              <w:tabs>
                <w:tab w:val="left" w:pos="9668"/>
              </w:tabs>
              <w:ind w:right="170"/>
              <w:jc w:val="both"/>
              <w:rPr>
                <w:rFonts w:cs="Arial"/>
                <w:sz w:val="22"/>
                <w:szCs w:val="22"/>
              </w:rPr>
            </w:pPr>
            <w:r w:rsidRPr="00656B46">
              <w:rPr>
                <w:rFonts w:cs="Arial"/>
                <w:b/>
                <w:bCs/>
                <w:sz w:val="22"/>
                <w:szCs w:val="22"/>
              </w:rPr>
              <w:t>Our main objective is that, through our selection of tenants, we provide a good quality of life and environment on and around the site.  The allocating officer must have reasonable grounds for their decision.</w:t>
            </w:r>
          </w:p>
          <w:p w:rsidR="00656B46" w:rsidRPr="00656B46" w:rsidRDefault="00656B46" w:rsidP="00601548">
            <w:pPr>
              <w:jc w:val="both"/>
              <w:rPr>
                <w:rFonts w:cs="Arial"/>
                <w:sz w:val="22"/>
                <w:szCs w:val="22"/>
              </w:rPr>
            </w:pPr>
          </w:p>
        </w:tc>
      </w:tr>
    </w:tbl>
    <w:p w:rsidR="00656B46" w:rsidRDefault="00656B46" w:rsidP="00656B46">
      <w:pPr>
        <w:tabs>
          <w:tab w:val="left" w:pos="567"/>
        </w:tabs>
        <w:spacing w:before="0" w:after="0" w:line="240" w:lineRule="auto"/>
        <w:rPr>
          <w:rFonts w:cs="Arial"/>
          <w:sz w:val="22"/>
          <w:szCs w:val="22"/>
        </w:rPr>
      </w:pPr>
    </w:p>
    <w:p w:rsidR="00086DC2" w:rsidRPr="00834AB5" w:rsidRDefault="00086DC2" w:rsidP="00656B46">
      <w:pPr>
        <w:tabs>
          <w:tab w:val="left" w:pos="567"/>
        </w:tabs>
        <w:spacing w:before="0" w:after="0" w:line="240" w:lineRule="auto"/>
        <w:rPr>
          <w:rFonts w:cs="Arial"/>
          <w:b/>
          <w:iCs/>
        </w:rPr>
      </w:pPr>
    </w:p>
    <w:tbl>
      <w:tblPr>
        <w:tblStyle w:val="TableGrid"/>
        <w:tblW w:w="0" w:type="auto"/>
        <w:tblLook w:val="04A0" w:firstRow="1" w:lastRow="0" w:firstColumn="1" w:lastColumn="0" w:noHBand="0" w:noVBand="1"/>
      </w:tblPr>
      <w:tblGrid>
        <w:gridCol w:w="10054"/>
      </w:tblGrid>
      <w:tr w:rsidR="00656B46" w:rsidTr="00601548">
        <w:trPr>
          <w:trHeight w:val="422"/>
        </w:trPr>
        <w:tc>
          <w:tcPr>
            <w:tcW w:w="10054" w:type="dxa"/>
            <w:tcBorders>
              <w:bottom w:val="nil"/>
            </w:tcBorders>
            <w:shd w:val="clear" w:color="auto" w:fill="C2D69B"/>
            <w:vAlign w:val="center"/>
          </w:tcPr>
          <w:p w:rsidR="00656B46" w:rsidRPr="00086DC2" w:rsidRDefault="00086DC2" w:rsidP="00656B46">
            <w:pPr>
              <w:pStyle w:val="ListParagraph"/>
              <w:numPr>
                <w:ilvl w:val="0"/>
                <w:numId w:val="12"/>
              </w:numPr>
              <w:tabs>
                <w:tab w:val="left" w:pos="454"/>
              </w:tabs>
              <w:ind w:left="596" w:hanging="567"/>
              <w:rPr>
                <w:b/>
                <w:color w:val="3B3838" w:themeColor="background2" w:themeShade="40"/>
                <w:sz w:val="22"/>
                <w:szCs w:val="22"/>
              </w:rPr>
            </w:pPr>
            <w:r w:rsidRPr="00086DC2">
              <w:rPr>
                <w:rFonts w:cs="Arial"/>
                <w:b/>
                <w:iCs/>
                <w:sz w:val="22"/>
                <w:szCs w:val="22"/>
              </w:rPr>
              <w:t>What we look at when selecting a tenant</w:t>
            </w:r>
          </w:p>
        </w:tc>
      </w:tr>
      <w:tr w:rsidR="00656B46" w:rsidTr="00601548">
        <w:tc>
          <w:tcPr>
            <w:tcW w:w="10054" w:type="dxa"/>
            <w:tcBorders>
              <w:top w:val="nil"/>
            </w:tcBorders>
          </w:tcPr>
          <w:p w:rsidR="00656B46" w:rsidRPr="00086DC2" w:rsidRDefault="00656B46" w:rsidP="00601548">
            <w:pPr>
              <w:jc w:val="both"/>
              <w:rPr>
                <w:rFonts w:cs="Arial"/>
                <w:sz w:val="10"/>
                <w:szCs w:val="10"/>
              </w:rPr>
            </w:pPr>
          </w:p>
          <w:p w:rsidR="00086DC2" w:rsidRPr="00086DC2" w:rsidRDefault="00086DC2" w:rsidP="00086DC2">
            <w:pPr>
              <w:pStyle w:val="BodyText2"/>
              <w:numPr>
                <w:ilvl w:val="0"/>
                <w:numId w:val="8"/>
              </w:numPr>
              <w:tabs>
                <w:tab w:val="clear" w:pos="1533"/>
                <w:tab w:val="num" w:pos="851"/>
              </w:tabs>
              <w:spacing w:after="0" w:line="276" w:lineRule="auto"/>
              <w:ind w:left="850" w:hanging="425"/>
              <w:rPr>
                <w:rFonts w:asciiTheme="minorHAnsi" w:hAnsiTheme="minorHAnsi" w:cs="Arial"/>
                <w:sz w:val="22"/>
                <w:szCs w:val="22"/>
              </w:rPr>
            </w:pPr>
            <w:r w:rsidRPr="00086DC2">
              <w:rPr>
                <w:rFonts w:asciiTheme="minorHAnsi" w:hAnsiTheme="minorHAnsi" w:cs="Arial"/>
                <w:bCs/>
                <w:sz w:val="22"/>
                <w:szCs w:val="22"/>
              </w:rPr>
              <w:t>Position on the waiting list</w:t>
            </w:r>
          </w:p>
          <w:p w:rsidR="00086DC2" w:rsidRPr="00086DC2" w:rsidRDefault="00086DC2" w:rsidP="00086DC2">
            <w:pPr>
              <w:numPr>
                <w:ilvl w:val="0"/>
                <w:numId w:val="8"/>
              </w:numPr>
              <w:tabs>
                <w:tab w:val="clear" w:pos="1533"/>
                <w:tab w:val="num" w:pos="851"/>
                <w:tab w:val="left" w:pos="1134"/>
              </w:tabs>
              <w:spacing w:line="276" w:lineRule="auto"/>
              <w:ind w:left="850" w:hanging="425"/>
              <w:rPr>
                <w:rFonts w:cs="Arial"/>
                <w:sz w:val="22"/>
                <w:szCs w:val="22"/>
              </w:rPr>
            </w:pPr>
            <w:r w:rsidRPr="00086DC2">
              <w:rPr>
                <w:rFonts w:cs="Arial"/>
                <w:bCs/>
                <w:sz w:val="22"/>
                <w:szCs w:val="22"/>
              </w:rPr>
              <w:t>History of residence in the County</w:t>
            </w:r>
          </w:p>
          <w:p w:rsidR="00086DC2" w:rsidRPr="00086DC2" w:rsidRDefault="00086DC2" w:rsidP="00086DC2">
            <w:pPr>
              <w:numPr>
                <w:ilvl w:val="0"/>
                <w:numId w:val="8"/>
              </w:numPr>
              <w:tabs>
                <w:tab w:val="clear" w:pos="1533"/>
                <w:tab w:val="num" w:pos="851"/>
                <w:tab w:val="left" w:pos="1134"/>
              </w:tabs>
              <w:spacing w:line="276" w:lineRule="auto"/>
              <w:ind w:left="850" w:hanging="425"/>
              <w:rPr>
                <w:rFonts w:cs="Arial"/>
                <w:sz w:val="22"/>
                <w:szCs w:val="22"/>
              </w:rPr>
            </w:pPr>
            <w:r w:rsidRPr="00086DC2">
              <w:rPr>
                <w:rFonts w:cs="Arial"/>
                <w:bCs/>
                <w:sz w:val="22"/>
                <w:szCs w:val="22"/>
              </w:rPr>
              <w:t>Whether applicant prepared to accept the vacancy</w:t>
            </w:r>
          </w:p>
          <w:p w:rsidR="00086DC2" w:rsidRPr="00086DC2" w:rsidRDefault="00086DC2" w:rsidP="00086DC2">
            <w:pPr>
              <w:numPr>
                <w:ilvl w:val="0"/>
                <w:numId w:val="8"/>
              </w:numPr>
              <w:tabs>
                <w:tab w:val="clear" w:pos="1533"/>
                <w:tab w:val="num" w:pos="851"/>
                <w:tab w:val="left" w:pos="1134"/>
              </w:tabs>
              <w:spacing w:line="276" w:lineRule="auto"/>
              <w:ind w:left="850" w:hanging="425"/>
              <w:rPr>
                <w:rFonts w:cs="Arial"/>
                <w:bCs/>
                <w:sz w:val="22"/>
                <w:szCs w:val="22"/>
              </w:rPr>
            </w:pPr>
            <w:r w:rsidRPr="00086DC2">
              <w:rPr>
                <w:rFonts w:cs="Arial"/>
                <w:bCs/>
                <w:sz w:val="22"/>
                <w:szCs w:val="22"/>
              </w:rPr>
              <w:t>Risk of friction with existing tenants</w:t>
            </w:r>
          </w:p>
          <w:p w:rsidR="00086DC2" w:rsidRPr="00086DC2" w:rsidRDefault="00086DC2" w:rsidP="00086DC2">
            <w:pPr>
              <w:numPr>
                <w:ilvl w:val="0"/>
                <w:numId w:val="8"/>
              </w:numPr>
              <w:tabs>
                <w:tab w:val="clear" w:pos="1533"/>
                <w:tab w:val="num" w:pos="851"/>
                <w:tab w:val="left" w:pos="1134"/>
              </w:tabs>
              <w:spacing w:line="276" w:lineRule="auto"/>
              <w:ind w:left="850" w:hanging="425"/>
              <w:rPr>
                <w:rFonts w:cs="Arial"/>
                <w:bCs/>
                <w:sz w:val="22"/>
                <w:szCs w:val="22"/>
              </w:rPr>
            </w:pPr>
            <w:r w:rsidRPr="00086DC2">
              <w:rPr>
                <w:rFonts w:cs="Arial"/>
                <w:bCs/>
                <w:sz w:val="22"/>
                <w:szCs w:val="22"/>
              </w:rPr>
              <w:t>Risk that the applicant will discourage against our main objective</w:t>
            </w:r>
          </w:p>
          <w:p w:rsidR="00086DC2" w:rsidRPr="00086DC2" w:rsidRDefault="00086DC2" w:rsidP="00086DC2">
            <w:pPr>
              <w:numPr>
                <w:ilvl w:val="0"/>
                <w:numId w:val="8"/>
              </w:numPr>
              <w:tabs>
                <w:tab w:val="clear" w:pos="1533"/>
                <w:tab w:val="num" w:pos="851"/>
                <w:tab w:val="left" w:pos="1134"/>
              </w:tabs>
              <w:spacing w:line="276" w:lineRule="auto"/>
              <w:ind w:left="850" w:hanging="425"/>
              <w:rPr>
                <w:rFonts w:cs="Arial"/>
                <w:bCs/>
                <w:sz w:val="22"/>
                <w:szCs w:val="22"/>
              </w:rPr>
            </w:pPr>
            <w:r w:rsidRPr="00086DC2">
              <w:rPr>
                <w:rFonts w:cs="Arial"/>
                <w:bCs/>
                <w:sz w:val="22"/>
                <w:szCs w:val="22"/>
              </w:rPr>
              <w:t>Health of family members</w:t>
            </w:r>
          </w:p>
          <w:p w:rsidR="00086DC2" w:rsidRPr="00086DC2" w:rsidRDefault="00086DC2" w:rsidP="00086DC2">
            <w:pPr>
              <w:numPr>
                <w:ilvl w:val="0"/>
                <w:numId w:val="8"/>
              </w:numPr>
              <w:tabs>
                <w:tab w:val="clear" w:pos="1533"/>
                <w:tab w:val="num" w:pos="567"/>
                <w:tab w:val="left" w:pos="851"/>
                <w:tab w:val="left" w:pos="1701"/>
              </w:tabs>
              <w:spacing w:line="276" w:lineRule="auto"/>
              <w:ind w:left="1134" w:hanging="709"/>
              <w:rPr>
                <w:rFonts w:cs="Arial"/>
                <w:sz w:val="22"/>
                <w:szCs w:val="22"/>
              </w:rPr>
            </w:pPr>
            <w:r w:rsidRPr="00086DC2">
              <w:rPr>
                <w:rFonts w:cs="Arial"/>
                <w:bCs/>
                <w:sz w:val="22"/>
                <w:szCs w:val="22"/>
              </w:rPr>
              <w:t>Educational needs of family members</w:t>
            </w:r>
          </w:p>
          <w:p w:rsidR="00086DC2" w:rsidRPr="00086DC2" w:rsidRDefault="00086DC2" w:rsidP="00086DC2">
            <w:pPr>
              <w:numPr>
                <w:ilvl w:val="0"/>
                <w:numId w:val="8"/>
              </w:numPr>
              <w:tabs>
                <w:tab w:val="clear" w:pos="1533"/>
                <w:tab w:val="num" w:pos="567"/>
                <w:tab w:val="left" w:pos="851"/>
                <w:tab w:val="left" w:pos="1701"/>
              </w:tabs>
              <w:spacing w:line="276" w:lineRule="auto"/>
              <w:ind w:left="1134" w:hanging="709"/>
              <w:rPr>
                <w:rFonts w:cs="Arial"/>
                <w:sz w:val="22"/>
                <w:szCs w:val="22"/>
              </w:rPr>
            </w:pPr>
            <w:r w:rsidRPr="00086DC2">
              <w:rPr>
                <w:rFonts w:cs="Arial"/>
                <w:bCs/>
                <w:sz w:val="22"/>
                <w:szCs w:val="22"/>
              </w:rPr>
              <w:t>Social needs of family members</w:t>
            </w:r>
          </w:p>
          <w:p w:rsidR="00656B46" w:rsidRPr="00086DC2" w:rsidRDefault="00656B46" w:rsidP="00601548">
            <w:pPr>
              <w:jc w:val="both"/>
              <w:rPr>
                <w:rFonts w:cs="Arial"/>
                <w:sz w:val="10"/>
                <w:szCs w:val="10"/>
              </w:rPr>
            </w:pPr>
          </w:p>
        </w:tc>
      </w:tr>
    </w:tbl>
    <w:p w:rsidR="00656B46" w:rsidRPr="00834AB5" w:rsidRDefault="00656B46" w:rsidP="00086DC2">
      <w:pPr>
        <w:tabs>
          <w:tab w:val="left" w:pos="567"/>
        </w:tabs>
        <w:spacing w:before="0" w:after="0" w:line="240" w:lineRule="auto"/>
        <w:rPr>
          <w:rFonts w:cs="Arial"/>
          <w:b/>
          <w:iCs/>
        </w:rPr>
      </w:pPr>
    </w:p>
    <w:tbl>
      <w:tblPr>
        <w:tblStyle w:val="TableGrid"/>
        <w:tblW w:w="0" w:type="auto"/>
        <w:tblLook w:val="04A0" w:firstRow="1" w:lastRow="0" w:firstColumn="1" w:lastColumn="0" w:noHBand="0" w:noVBand="1"/>
      </w:tblPr>
      <w:tblGrid>
        <w:gridCol w:w="10054"/>
      </w:tblGrid>
      <w:tr w:rsidR="00086DC2" w:rsidTr="00601548">
        <w:trPr>
          <w:trHeight w:val="422"/>
        </w:trPr>
        <w:tc>
          <w:tcPr>
            <w:tcW w:w="10054" w:type="dxa"/>
            <w:tcBorders>
              <w:bottom w:val="nil"/>
            </w:tcBorders>
            <w:shd w:val="clear" w:color="auto" w:fill="C2D69B"/>
            <w:vAlign w:val="center"/>
          </w:tcPr>
          <w:p w:rsidR="00086DC2" w:rsidRPr="00086DC2" w:rsidRDefault="00086DC2" w:rsidP="00601548">
            <w:pPr>
              <w:pStyle w:val="ListParagraph"/>
              <w:numPr>
                <w:ilvl w:val="0"/>
                <w:numId w:val="12"/>
              </w:numPr>
              <w:tabs>
                <w:tab w:val="left" w:pos="454"/>
              </w:tabs>
              <w:ind w:left="596" w:hanging="567"/>
              <w:rPr>
                <w:b/>
                <w:color w:val="3B3838" w:themeColor="background2" w:themeShade="40"/>
                <w:sz w:val="22"/>
                <w:szCs w:val="22"/>
              </w:rPr>
            </w:pPr>
            <w:r>
              <w:rPr>
                <w:rFonts w:cs="Arial"/>
                <w:b/>
                <w:iCs/>
                <w:sz w:val="22"/>
                <w:szCs w:val="22"/>
              </w:rPr>
              <w:t>How these factors are used to place applicants for a vacancy in priority order</w:t>
            </w:r>
          </w:p>
        </w:tc>
      </w:tr>
      <w:tr w:rsidR="00086DC2" w:rsidTr="00601548">
        <w:tc>
          <w:tcPr>
            <w:tcW w:w="10054" w:type="dxa"/>
            <w:tcBorders>
              <w:top w:val="nil"/>
            </w:tcBorders>
          </w:tcPr>
          <w:p w:rsidR="00086DC2" w:rsidRPr="00086DC2" w:rsidRDefault="00086DC2" w:rsidP="00086DC2">
            <w:pPr>
              <w:jc w:val="both"/>
              <w:rPr>
                <w:rFonts w:cs="Arial"/>
                <w:sz w:val="10"/>
                <w:szCs w:val="10"/>
              </w:rPr>
            </w:pPr>
          </w:p>
          <w:p w:rsidR="00086DC2" w:rsidRPr="00086DC2" w:rsidRDefault="00086DC2" w:rsidP="00086DC2">
            <w:pPr>
              <w:tabs>
                <w:tab w:val="left" w:pos="9385"/>
                <w:tab w:val="left" w:pos="9526"/>
              </w:tabs>
              <w:ind w:right="312"/>
              <w:jc w:val="both"/>
              <w:rPr>
                <w:rFonts w:cs="Arial"/>
                <w:sz w:val="22"/>
                <w:szCs w:val="22"/>
              </w:rPr>
            </w:pPr>
            <w:r w:rsidRPr="00086DC2">
              <w:rPr>
                <w:rFonts w:cs="Arial"/>
                <w:sz w:val="22"/>
                <w:szCs w:val="22"/>
              </w:rPr>
              <w:t>The position of each applicant is first assessed on each individual factor.  This section indicates the approach to assessing an applicant’s priority on individual factors:</w:t>
            </w:r>
          </w:p>
          <w:p w:rsidR="00086DC2" w:rsidRPr="00086DC2" w:rsidRDefault="00086DC2" w:rsidP="00086DC2">
            <w:pPr>
              <w:tabs>
                <w:tab w:val="left" w:pos="9385"/>
                <w:tab w:val="left" w:pos="9526"/>
              </w:tabs>
              <w:ind w:right="312"/>
              <w:jc w:val="both"/>
              <w:rPr>
                <w:rFonts w:cs="Arial"/>
                <w:sz w:val="22"/>
                <w:szCs w:val="22"/>
              </w:rPr>
            </w:pPr>
          </w:p>
          <w:p w:rsidR="00086DC2" w:rsidRPr="00086DC2" w:rsidRDefault="00086DC2" w:rsidP="00086DC2">
            <w:pPr>
              <w:numPr>
                <w:ilvl w:val="1"/>
                <w:numId w:val="9"/>
              </w:numPr>
              <w:tabs>
                <w:tab w:val="clear" w:pos="1440"/>
                <w:tab w:val="left" w:pos="851"/>
                <w:tab w:val="left" w:pos="9385"/>
                <w:tab w:val="left" w:pos="9526"/>
              </w:tabs>
              <w:spacing w:before="120"/>
              <w:ind w:left="850" w:right="312" w:hanging="425"/>
              <w:jc w:val="both"/>
              <w:rPr>
                <w:rFonts w:cs="Arial"/>
                <w:sz w:val="22"/>
                <w:szCs w:val="22"/>
              </w:rPr>
            </w:pPr>
            <w:r w:rsidRPr="00086DC2">
              <w:rPr>
                <w:rFonts w:cs="Arial"/>
                <w:b/>
                <w:bCs/>
                <w:sz w:val="22"/>
                <w:szCs w:val="22"/>
              </w:rPr>
              <w:t xml:space="preserve">Position on the waiting list:  </w:t>
            </w:r>
            <w:r w:rsidRPr="00086DC2">
              <w:rPr>
                <w:rFonts w:cs="Arial"/>
                <w:sz w:val="22"/>
                <w:szCs w:val="22"/>
              </w:rPr>
              <w:t>This means the longer the length of time the applicant has continuously held a waiting list registration card, the higher the priority.</w:t>
            </w:r>
          </w:p>
          <w:p w:rsidR="00086DC2" w:rsidRPr="00086DC2" w:rsidRDefault="00086DC2" w:rsidP="00086DC2">
            <w:pPr>
              <w:tabs>
                <w:tab w:val="left" w:pos="851"/>
                <w:tab w:val="left" w:pos="9385"/>
                <w:tab w:val="left" w:pos="9526"/>
              </w:tabs>
              <w:ind w:left="425" w:right="312"/>
              <w:jc w:val="both"/>
              <w:rPr>
                <w:rFonts w:cs="Arial"/>
                <w:sz w:val="22"/>
                <w:szCs w:val="22"/>
              </w:rPr>
            </w:pPr>
          </w:p>
          <w:p w:rsidR="00086DC2" w:rsidRPr="00086DC2" w:rsidRDefault="00086DC2" w:rsidP="00086DC2">
            <w:pPr>
              <w:numPr>
                <w:ilvl w:val="1"/>
                <w:numId w:val="9"/>
              </w:numPr>
              <w:tabs>
                <w:tab w:val="clear" w:pos="1440"/>
                <w:tab w:val="left" w:pos="851"/>
                <w:tab w:val="left" w:pos="9385"/>
                <w:tab w:val="left" w:pos="9526"/>
              </w:tabs>
              <w:ind w:left="851" w:right="312" w:hanging="425"/>
              <w:jc w:val="both"/>
              <w:rPr>
                <w:rFonts w:cs="Arial"/>
                <w:sz w:val="22"/>
                <w:szCs w:val="22"/>
              </w:rPr>
            </w:pPr>
            <w:r w:rsidRPr="00086DC2">
              <w:rPr>
                <w:rFonts w:cs="Arial"/>
                <w:b/>
                <w:bCs/>
                <w:sz w:val="22"/>
                <w:szCs w:val="22"/>
              </w:rPr>
              <w:t>History of residence in the County</w:t>
            </w:r>
            <w:r w:rsidRPr="00086DC2">
              <w:rPr>
                <w:rFonts w:cs="Arial"/>
                <w:sz w:val="22"/>
                <w:szCs w:val="22"/>
              </w:rPr>
              <w:t>:  The longer Hertfordshire has been a usual travelling area, the higher the priority.  This is not just whether the applicant is currently in Hertfordshire, but whether there is a continuing history of resorting to the County.</w:t>
            </w:r>
          </w:p>
          <w:p w:rsidR="00086DC2" w:rsidRPr="00086DC2" w:rsidRDefault="00086DC2" w:rsidP="00086DC2">
            <w:pPr>
              <w:tabs>
                <w:tab w:val="left" w:pos="851"/>
                <w:tab w:val="left" w:pos="9385"/>
                <w:tab w:val="left" w:pos="9526"/>
              </w:tabs>
              <w:ind w:left="851" w:right="312" w:hanging="851"/>
              <w:jc w:val="both"/>
              <w:rPr>
                <w:rFonts w:cs="Arial"/>
                <w:sz w:val="22"/>
                <w:szCs w:val="22"/>
              </w:rPr>
            </w:pPr>
          </w:p>
          <w:p w:rsidR="00086DC2" w:rsidRPr="00086DC2" w:rsidRDefault="00086DC2" w:rsidP="00086DC2">
            <w:pPr>
              <w:numPr>
                <w:ilvl w:val="1"/>
                <w:numId w:val="9"/>
              </w:numPr>
              <w:tabs>
                <w:tab w:val="clear" w:pos="1440"/>
                <w:tab w:val="left" w:pos="851"/>
                <w:tab w:val="left" w:pos="9385"/>
                <w:tab w:val="left" w:pos="9526"/>
              </w:tabs>
              <w:ind w:left="851" w:right="312" w:hanging="425"/>
              <w:jc w:val="both"/>
              <w:rPr>
                <w:rFonts w:cs="Arial"/>
                <w:sz w:val="22"/>
                <w:szCs w:val="22"/>
              </w:rPr>
            </w:pPr>
            <w:r w:rsidRPr="00086DC2">
              <w:rPr>
                <w:rFonts w:cs="Arial"/>
                <w:b/>
                <w:bCs/>
                <w:sz w:val="22"/>
                <w:szCs w:val="22"/>
              </w:rPr>
              <w:t>Whether applicant prepared to accept the vacancy</w:t>
            </w:r>
            <w:r w:rsidRPr="00086DC2">
              <w:rPr>
                <w:rFonts w:cs="Arial"/>
                <w:sz w:val="22"/>
                <w:szCs w:val="22"/>
              </w:rPr>
              <w:t xml:space="preserve">:  Those wishing to live permanently on the site have a higher priority than those who would be prepared to occupy any site awaiting a transfer on their preferred site. </w:t>
            </w:r>
          </w:p>
          <w:p w:rsidR="00086DC2" w:rsidRPr="00086DC2" w:rsidRDefault="00086DC2" w:rsidP="00086DC2">
            <w:pPr>
              <w:tabs>
                <w:tab w:val="left" w:pos="851"/>
                <w:tab w:val="left" w:pos="9385"/>
                <w:tab w:val="left" w:pos="9526"/>
              </w:tabs>
              <w:ind w:right="312"/>
              <w:jc w:val="both"/>
              <w:rPr>
                <w:rFonts w:cs="Arial"/>
                <w:sz w:val="22"/>
                <w:szCs w:val="22"/>
              </w:rPr>
            </w:pPr>
          </w:p>
          <w:p w:rsidR="00086DC2" w:rsidRPr="00086DC2" w:rsidRDefault="00086DC2" w:rsidP="00086DC2">
            <w:pPr>
              <w:numPr>
                <w:ilvl w:val="1"/>
                <w:numId w:val="9"/>
              </w:numPr>
              <w:tabs>
                <w:tab w:val="clear" w:pos="1440"/>
                <w:tab w:val="left" w:pos="851"/>
                <w:tab w:val="left" w:pos="9385"/>
                <w:tab w:val="left" w:pos="9526"/>
              </w:tabs>
              <w:ind w:left="851" w:right="312" w:hanging="425"/>
              <w:jc w:val="both"/>
              <w:rPr>
                <w:rFonts w:cs="Arial"/>
                <w:sz w:val="22"/>
                <w:szCs w:val="22"/>
              </w:rPr>
            </w:pPr>
            <w:r w:rsidRPr="00086DC2">
              <w:rPr>
                <w:rFonts w:cs="Arial"/>
                <w:b/>
                <w:bCs/>
                <w:sz w:val="22"/>
                <w:szCs w:val="22"/>
              </w:rPr>
              <w:t>Risk of friction with existing tenants</w:t>
            </w:r>
            <w:r w:rsidRPr="00086DC2">
              <w:rPr>
                <w:rFonts w:cs="Arial"/>
                <w:sz w:val="22"/>
                <w:szCs w:val="22"/>
              </w:rPr>
              <w:t>:  The greater the connection between the family and the group or groups on the site, the higher the priority.  This means, whether the applicant is likely to mix with or live near existing tenants of a site without friction.</w:t>
            </w:r>
          </w:p>
          <w:p w:rsidR="00086DC2" w:rsidRPr="00086DC2" w:rsidRDefault="00086DC2" w:rsidP="00086DC2">
            <w:pPr>
              <w:tabs>
                <w:tab w:val="left" w:pos="851"/>
                <w:tab w:val="left" w:pos="9385"/>
                <w:tab w:val="left" w:pos="9526"/>
              </w:tabs>
              <w:ind w:left="426" w:right="312"/>
              <w:jc w:val="both"/>
              <w:rPr>
                <w:rFonts w:cs="Arial"/>
                <w:sz w:val="22"/>
                <w:szCs w:val="22"/>
              </w:rPr>
            </w:pPr>
          </w:p>
          <w:p w:rsidR="00086DC2" w:rsidRPr="00086DC2" w:rsidRDefault="00086DC2" w:rsidP="00086DC2">
            <w:pPr>
              <w:numPr>
                <w:ilvl w:val="1"/>
                <w:numId w:val="9"/>
              </w:numPr>
              <w:tabs>
                <w:tab w:val="clear" w:pos="1440"/>
                <w:tab w:val="left" w:pos="851"/>
                <w:tab w:val="left" w:pos="1701"/>
                <w:tab w:val="left" w:pos="9385"/>
                <w:tab w:val="left" w:pos="9526"/>
              </w:tabs>
              <w:ind w:left="851" w:right="312" w:hanging="425"/>
              <w:jc w:val="both"/>
              <w:rPr>
                <w:rFonts w:cs="Arial"/>
                <w:sz w:val="22"/>
                <w:szCs w:val="22"/>
              </w:rPr>
            </w:pPr>
            <w:r w:rsidRPr="00086DC2">
              <w:rPr>
                <w:rFonts w:cs="Arial"/>
                <w:b/>
                <w:bCs/>
                <w:sz w:val="22"/>
                <w:szCs w:val="22"/>
              </w:rPr>
              <w:t>Risk that the applicant will discourage against our main objective</w:t>
            </w:r>
            <w:r w:rsidRPr="00086DC2">
              <w:rPr>
                <w:rFonts w:cs="Arial"/>
                <w:sz w:val="22"/>
                <w:szCs w:val="22"/>
              </w:rPr>
              <w:t xml:space="preserve">:  Those who </w:t>
            </w:r>
            <w:r w:rsidRPr="00086DC2">
              <w:rPr>
                <w:rFonts w:cs="Arial"/>
                <w:b/>
                <w:sz w:val="22"/>
                <w:szCs w:val="22"/>
              </w:rPr>
              <w:t>do not have</w:t>
            </w:r>
            <w:r w:rsidRPr="00086DC2">
              <w:rPr>
                <w:rFonts w:cs="Arial"/>
                <w:sz w:val="22"/>
                <w:szCs w:val="22"/>
              </w:rPr>
              <w:t xml:space="preserve"> a history of violence, disruptive behaviour or causing nuisance on sites will have a higher priority than those who do.  So that the site and area will be maintained as a desirable place to live in. </w:t>
            </w:r>
            <w:r w:rsidRPr="00086DC2">
              <w:rPr>
                <w:rFonts w:cs="Arial"/>
                <w:color w:val="FF0000"/>
                <w:sz w:val="22"/>
                <w:szCs w:val="22"/>
              </w:rPr>
              <w:t xml:space="preserve"> </w:t>
            </w:r>
          </w:p>
          <w:p w:rsidR="00086DC2" w:rsidRPr="00086DC2" w:rsidRDefault="00086DC2" w:rsidP="00086DC2">
            <w:pPr>
              <w:tabs>
                <w:tab w:val="left" w:pos="851"/>
                <w:tab w:val="left" w:pos="1701"/>
                <w:tab w:val="left" w:pos="9385"/>
                <w:tab w:val="left" w:pos="9526"/>
              </w:tabs>
              <w:ind w:left="851" w:right="312" w:hanging="425"/>
              <w:jc w:val="both"/>
              <w:rPr>
                <w:rFonts w:cs="Arial"/>
                <w:sz w:val="22"/>
                <w:szCs w:val="22"/>
              </w:rPr>
            </w:pPr>
          </w:p>
          <w:p w:rsidR="00086DC2" w:rsidRPr="00086DC2" w:rsidRDefault="00086DC2" w:rsidP="00086DC2">
            <w:pPr>
              <w:numPr>
                <w:ilvl w:val="1"/>
                <w:numId w:val="9"/>
              </w:numPr>
              <w:tabs>
                <w:tab w:val="clear" w:pos="1440"/>
                <w:tab w:val="left" w:pos="851"/>
                <w:tab w:val="left" w:pos="1701"/>
                <w:tab w:val="left" w:pos="9385"/>
                <w:tab w:val="left" w:pos="9526"/>
              </w:tabs>
              <w:ind w:left="851" w:right="312" w:hanging="425"/>
              <w:jc w:val="both"/>
              <w:rPr>
                <w:rFonts w:cs="Arial"/>
                <w:sz w:val="22"/>
                <w:szCs w:val="22"/>
              </w:rPr>
            </w:pPr>
            <w:r w:rsidRPr="00086DC2">
              <w:rPr>
                <w:rFonts w:cs="Arial"/>
                <w:b/>
                <w:bCs/>
                <w:sz w:val="22"/>
                <w:szCs w:val="22"/>
              </w:rPr>
              <w:t>Health of family members</w:t>
            </w:r>
            <w:r w:rsidRPr="00086DC2">
              <w:rPr>
                <w:rFonts w:cs="Arial"/>
                <w:sz w:val="22"/>
                <w:szCs w:val="22"/>
              </w:rPr>
              <w:t>:  The more people in the family with health problems and the more severe the problems, the higher the priority.  E.g. chronic illness, disability, mental health problems, short term illness or pregnancy.</w:t>
            </w:r>
          </w:p>
          <w:p w:rsidR="00086DC2" w:rsidRPr="00086DC2" w:rsidRDefault="00086DC2" w:rsidP="00086DC2">
            <w:pPr>
              <w:tabs>
                <w:tab w:val="left" w:pos="851"/>
                <w:tab w:val="left" w:pos="1701"/>
                <w:tab w:val="left" w:pos="9385"/>
                <w:tab w:val="left" w:pos="9526"/>
              </w:tabs>
              <w:ind w:left="851" w:right="312" w:hanging="425"/>
              <w:jc w:val="both"/>
              <w:rPr>
                <w:rFonts w:cs="Arial"/>
                <w:sz w:val="22"/>
                <w:szCs w:val="22"/>
              </w:rPr>
            </w:pPr>
          </w:p>
          <w:p w:rsidR="00086DC2" w:rsidRPr="00086DC2" w:rsidRDefault="00086DC2" w:rsidP="00086DC2">
            <w:pPr>
              <w:numPr>
                <w:ilvl w:val="1"/>
                <w:numId w:val="9"/>
              </w:numPr>
              <w:tabs>
                <w:tab w:val="clear" w:pos="1440"/>
                <w:tab w:val="left" w:pos="851"/>
                <w:tab w:val="left" w:pos="1701"/>
                <w:tab w:val="left" w:pos="9385"/>
                <w:tab w:val="left" w:pos="9526"/>
              </w:tabs>
              <w:ind w:left="851" w:right="312" w:hanging="425"/>
              <w:jc w:val="both"/>
              <w:rPr>
                <w:rFonts w:cs="Arial"/>
                <w:sz w:val="22"/>
                <w:szCs w:val="22"/>
              </w:rPr>
            </w:pPr>
            <w:r w:rsidRPr="00086DC2">
              <w:rPr>
                <w:rFonts w:cs="Arial"/>
                <w:b/>
                <w:bCs/>
                <w:sz w:val="22"/>
                <w:szCs w:val="22"/>
              </w:rPr>
              <w:t>Educational needs of family members</w:t>
            </w:r>
            <w:r w:rsidRPr="00086DC2">
              <w:rPr>
                <w:rFonts w:cs="Arial"/>
                <w:sz w:val="22"/>
                <w:szCs w:val="22"/>
              </w:rPr>
              <w:t>:  The more children, the higher the priority, with children on statements counting double.  This means the number of children statemented as having special educational needs, primary, secondary and pre-school age.</w:t>
            </w:r>
          </w:p>
          <w:p w:rsidR="00086DC2" w:rsidRPr="00086DC2" w:rsidRDefault="00086DC2" w:rsidP="00086DC2">
            <w:pPr>
              <w:tabs>
                <w:tab w:val="left" w:pos="851"/>
                <w:tab w:val="left" w:pos="1701"/>
                <w:tab w:val="left" w:pos="9385"/>
                <w:tab w:val="left" w:pos="9526"/>
              </w:tabs>
              <w:ind w:left="426" w:right="312"/>
              <w:jc w:val="both"/>
              <w:rPr>
                <w:rFonts w:cs="Arial"/>
                <w:sz w:val="22"/>
                <w:szCs w:val="22"/>
              </w:rPr>
            </w:pPr>
          </w:p>
          <w:p w:rsidR="00086DC2" w:rsidRPr="00086DC2" w:rsidRDefault="00086DC2" w:rsidP="00086DC2">
            <w:pPr>
              <w:numPr>
                <w:ilvl w:val="1"/>
                <w:numId w:val="9"/>
              </w:numPr>
              <w:tabs>
                <w:tab w:val="clear" w:pos="1440"/>
                <w:tab w:val="left" w:pos="851"/>
                <w:tab w:val="left" w:pos="1701"/>
                <w:tab w:val="left" w:pos="9385"/>
                <w:tab w:val="left" w:pos="9526"/>
              </w:tabs>
              <w:ind w:left="851" w:right="312" w:hanging="425"/>
              <w:jc w:val="both"/>
            </w:pPr>
            <w:r w:rsidRPr="00086DC2">
              <w:rPr>
                <w:rFonts w:cs="Arial"/>
                <w:b/>
                <w:bCs/>
                <w:sz w:val="22"/>
                <w:szCs w:val="22"/>
              </w:rPr>
              <w:t>Social needs of family members</w:t>
            </w:r>
            <w:r w:rsidRPr="00086DC2">
              <w:rPr>
                <w:sz w:val="22"/>
                <w:szCs w:val="22"/>
              </w:rPr>
              <w:t>:  The more social needs, the higher the priority.  This includes: moving to the area to look after elderly relatives or elderly relatives moving to be near the children.  Single parent families.  Local family connections.</w:t>
            </w:r>
          </w:p>
          <w:p w:rsidR="00086DC2" w:rsidRPr="00086DC2" w:rsidRDefault="00086DC2" w:rsidP="00086DC2">
            <w:pPr>
              <w:jc w:val="both"/>
              <w:rPr>
                <w:rFonts w:cs="Arial"/>
                <w:sz w:val="22"/>
                <w:szCs w:val="22"/>
              </w:rPr>
            </w:pPr>
          </w:p>
        </w:tc>
      </w:tr>
    </w:tbl>
    <w:p w:rsidR="00656B46" w:rsidRDefault="00656B46" w:rsidP="00086DC2">
      <w:pPr>
        <w:tabs>
          <w:tab w:val="left" w:pos="567"/>
        </w:tabs>
        <w:spacing w:before="0"/>
        <w:jc w:val="both"/>
        <w:rPr>
          <w:rFonts w:cs="Arial"/>
          <w:b/>
          <w:iCs/>
          <w:sz w:val="22"/>
          <w:szCs w:val="22"/>
        </w:rPr>
      </w:pPr>
    </w:p>
    <w:tbl>
      <w:tblPr>
        <w:tblStyle w:val="TableGrid"/>
        <w:tblW w:w="0" w:type="auto"/>
        <w:tblLook w:val="04A0" w:firstRow="1" w:lastRow="0" w:firstColumn="1" w:lastColumn="0" w:noHBand="0" w:noVBand="1"/>
      </w:tblPr>
      <w:tblGrid>
        <w:gridCol w:w="10054"/>
      </w:tblGrid>
      <w:tr w:rsidR="00086DC2" w:rsidTr="00086DC2">
        <w:tc>
          <w:tcPr>
            <w:tcW w:w="10054" w:type="dxa"/>
          </w:tcPr>
          <w:p w:rsidR="00086DC2" w:rsidRDefault="00086DC2" w:rsidP="00086DC2">
            <w:pPr>
              <w:tabs>
                <w:tab w:val="left" w:pos="567"/>
                <w:tab w:val="left" w:pos="1134"/>
                <w:tab w:val="left" w:pos="1701"/>
              </w:tabs>
              <w:spacing w:after="120"/>
              <w:ind w:right="170"/>
              <w:jc w:val="both"/>
              <w:rPr>
                <w:b/>
                <w:sz w:val="4"/>
                <w:szCs w:val="4"/>
              </w:rPr>
            </w:pPr>
          </w:p>
          <w:p w:rsidR="00086DC2" w:rsidRPr="00086DC2" w:rsidRDefault="00086DC2" w:rsidP="00086DC2">
            <w:pPr>
              <w:tabs>
                <w:tab w:val="left" w:pos="567"/>
                <w:tab w:val="left" w:pos="1134"/>
                <w:tab w:val="left" w:pos="1701"/>
              </w:tabs>
              <w:spacing w:after="120"/>
              <w:ind w:right="170"/>
              <w:jc w:val="both"/>
              <w:rPr>
                <w:b/>
                <w:sz w:val="22"/>
                <w:szCs w:val="22"/>
              </w:rPr>
            </w:pPr>
            <w:r w:rsidRPr="00086DC2">
              <w:rPr>
                <w:b/>
                <w:sz w:val="22"/>
                <w:szCs w:val="22"/>
              </w:rPr>
              <w:t>The relative importance of factors is as follows, running from highest to lowest:</w:t>
            </w:r>
          </w:p>
          <w:p w:rsidR="00086DC2" w:rsidRPr="00086DC2" w:rsidRDefault="00086DC2" w:rsidP="00086DC2">
            <w:pPr>
              <w:numPr>
                <w:ilvl w:val="0"/>
                <w:numId w:val="10"/>
              </w:numPr>
              <w:tabs>
                <w:tab w:val="clear" w:pos="1080"/>
                <w:tab w:val="left" w:pos="567"/>
                <w:tab w:val="left" w:pos="1418"/>
              </w:tabs>
              <w:spacing w:line="276" w:lineRule="auto"/>
              <w:ind w:right="170" w:hanging="370"/>
              <w:jc w:val="both"/>
              <w:rPr>
                <w:rFonts w:cs="Arial"/>
                <w:sz w:val="22"/>
                <w:szCs w:val="22"/>
              </w:rPr>
            </w:pPr>
            <w:r>
              <w:rPr>
                <w:rFonts w:cs="Arial"/>
                <w:sz w:val="22"/>
                <w:szCs w:val="22"/>
              </w:rPr>
              <w:t>Promotion of our main objective</w:t>
            </w:r>
            <w:r w:rsidRPr="00086DC2">
              <w:rPr>
                <w:rFonts w:cs="Arial"/>
                <w:sz w:val="22"/>
                <w:szCs w:val="22"/>
              </w:rPr>
              <w:t xml:space="preserve">  </w:t>
            </w:r>
          </w:p>
          <w:p w:rsidR="00086DC2" w:rsidRPr="00086DC2" w:rsidRDefault="00086DC2" w:rsidP="00086DC2">
            <w:pPr>
              <w:numPr>
                <w:ilvl w:val="0"/>
                <w:numId w:val="10"/>
              </w:numPr>
              <w:tabs>
                <w:tab w:val="clear" w:pos="1080"/>
                <w:tab w:val="left" w:pos="567"/>
                <w:tab w:val="left" w:pos="1418"/>
              </w:tabs>
              <w:spacing w:line="276" w:lineRule="auto"/>
              <w:ind w:right="170" w:hanging="370"/>
              <w:jc w:val="both"/>
              <w:rPr>
                <w:rFonts w:cs="Arial"/>
                <w:sz w:val="22"/>
                <w:szCs w:val="22"/>
              </w:rPr>
            </w:pPr>
            <w:r w:rsidRPr="00086DC2">
              <w:rPr>
                <w:rFonts w:cs="Arial"/>
                <w:sz w:val="22"/>
                <w:szCs w:val="22"/>
              </w:rPr>
              <w:t xml:space="preserve">Tenant compatibility  </w:t>
            </w:r>
          </w:p>
          <w:p w:rsidR="00086DC2" w:rsidRPr="00086DC2" w:rsidRDefault="00086DC2" w:rsidP="00086DC2">
            <w:pPr>
              <w:numPr>
                <w:ilvl w:val="0"/>
                <w:numId w:val="10"/>
              </w:numPr>
              <w:tabs>
                <w:tab w:val="clear" w:pos="1080"/>
                <w:tab w:val="left" w:pos="567"/>
                <w:tab w:val="left" w:pos="1418"/>
              </w:tabs>
              <w:spacing w:line="276" w:lineRule="auto"/>
              <w:ind w:right="170" w:hanging="370"/>
              <w:jc w:val="both"/>
              <w:rPr>
                <w:rFonts w:cs="Arial"/>
                <w:sz w:val="22"/>
                <w:szCs w:val="22"/>
              </w:rPr>
            </w:pPr>
            <w:r>
              <w:rPr>
                <w:rFonts w:cs="Arial"/>
                <w:sz w:val="22"/>
                <w:szCs w:val="22"/>
              </w:rPr>
              <w:t>Health needs</w:t>
            </w:r>
            <w:r w:rsidRPr="00086DC2">
              <w:rPr>
                <w:rFonts w:cs="Arial"/>
                <w:sz w:val="22"/>
                <w:szCs w:val="22"/>
              </w:rPr>
              <w:t xml:space="preserve"> </w:t>
            </w:r>
            <w:r w:rsidRPr="00086DC2">
              <w:rPr>
                <w:rFonts w:cs="Arial"/>
                <w:sz w:val="22"/>
                <w:szCs w:val="22"/>
              </w:rPr>
              <w:tab/>
            </w:r>
          </w:p>
          <w:p w:rsidR="00086DC2" w:rsidRPr="00086DC2" w:rsidRDefault="00086DC2" w:rsidP="00086DC2">
            <w:pPr>
              <w:numPr>
                <w:ilvl w:val="0"/>
                <w:numId w:val="10"/>
              </w:numPr>
              <w:tabs>
                <w:tab w:val="clear" w:pos="1080"/>
                <w:tab w:val="left" w:pos="567"/>
                <w:tab w:val="left" w:pos="1418"/>
              </w:tabs>
              <w:spacing w:line="276" w:lineRule="auto"/>
              <w:ind w:right="170" w:hanging="370"/>
              <w:jc w:val="both"/>
              <w:rPr>
                <w:rFonts w:cs="Arial"/>
                <w:sz w:val="22"/>
                <w:szCs w:val="22"/>
              </w:rPr>
            </w:pPr>
            <w:r>
              <w:rPr>
                <w:rFonts w:cs="Arial"/>
                <w:sz w:val="22"/>
                <w:szCs w:val="22"/>
              </w:rPr>
              <w:t>Educational needs</w:t>
            </w:r>
            <w:r w:rsidRPr="00086DC2">
              <w:rPr>
                <w:rFonts w:cs="Arial"/>
                <w:sz w:val="22"/>
                <w:szCs w:val="22"/>
              </w:rPr>
              <w:tab/>
            </w:r>
          </w:p>
          <w:p w:rsidR="00086DC2" w:rsidRPr="00086DC2" w:rsidRDefault="00086DC2" w:rsidP="00086DC2">
            <w:pPr>
              <w:numPr>
                <w:ilvl w:val="0"/>
                <w:numId w:val="10"/>
              </w:numPr>
              <w:tabs>
                <w:tab w:val="clear" w:pos="1080"/>
                <w:tab w:val="left" w:pos="567"/>
                <w:tab w:val="left" w:pos="1418"/>
              </w:tabs>
              <w:spacing w:line="276" w:lineRule="auto"/>
              <w:ind w:right="170" w:hanging="370"/>
              <w:jc w:val="both"/>
              <w:rPr>
                <w:rFonts w:cs="Arial"/>
                <w:sz w:val="22"/>
                <w:szCs w:val="22"/>
              </w:rPr>
            </w:pPr>
            <w:r>
              <w:rPr>
                <w:rFonts w:cs="Arial"/>
                <w:sz w:val="22"/>
                <w:szCs w:val="22"/>
              </w:rPr>
              <w:t>Social needs</w:t>
            </w:r>
            <w:r w:rsidRPr="00086DC2">
              <w:rPr>
                <w:rFonts w:cs="Arial"/>
                <w:sz w:val="22"/>
                <w:szCs w:val="22"/>
              </w:rPr>
              <w:tab/>
            </w:r>
            <w:r w:rsidRPr="00086DC2">
              <w:rPr>
                <w:rFonts w:cs="Arial"/>
                <w:sz w:val="22"/>
                <w:szCs w:val="22"/>
              </w:rPr>
              <w:tab/>
            </w:r>
          </w:p>
          <w:p w:rsidR="00086DC2" w:rsidRPr="00086DC2" w:rsidRDefault="00086DC2" w:rsidP="00086DC2">
            <w:pPr>
              <w:numPr>
                <w:ilvl w:val="0"/>
                <w:numId w:val="10"/>
              </w:numPr>
              <w:tabs>
                <w:tab w:val="clear" w:pos="1080"/>
                <w:tab w:val="left" w:pos="567"/>
                <w:tab w:val="left" w:pos="1418"/>
              </w:tabs>
              <w:spacing w:line="276" w:lineRule="auto"/>
              <w:ind w:right="170" w:hanging="370"/>
              <w:jc w:val="both"/>
              <w:rPr>
                <w:rFonts w:cs="Arial"/>
                <w:sz w:val="22"/>
                <w:szCs w:val="22"/>
              </w:rPr>
            </w:pPr>
            <w:r>
              <w:rPr>
                <w:rFonts w:cs="Arial"/>
                <w:sz w:val="22"/>
                <w:szCs w:val="22"/>
              </w:rPr>
              <w:t>Herts as usual travelling area</w:t>
            </w:r>
            <w:r w:rsidRPr="00086DC2">
              <w:rPr>
                <w:rFonts w:cs="Arial"/>
                <w:sz w:val="22"/>
                <w:szCs w:val="22"/>
              </w:rPr>
              <w:tab/>
            </w:r>
          </w:p>
          <w:p w:rsidR="00086DC2" w:rsidRDefault="00086DC2" w:rsidP="00086DC2">
            <w:pPr>
              <w:numPr>
                <w:ilvl w:val="0"/>
                <w:numId w:val="10"/>
              </w:numPr>
              <w:tabs>
                <w:tab w:val="clear" w:pos="1080"/>
                <w:tab w:val="left" w:pos="567"/>
                <w:tab w:val="left" w:pos="1418"/>
              </w:tabs>
              <w:spacing w:line="276" w:lineRule="auto"/>
              <w:ind w:right="170" w:hanging="370"/>
              <w:jc w:val="both"/>
              <w:rPr>
                <w:rFonts w:cs="Arial"/>
                <w:sz w:val="22"/>
                <w:szCs w:val="22"/>
              </w:rPr>
            </w:pPr>
            <w:r w:rsidRPr="00086DC2">
              <w:rPr>
                <w:rFonts w:cs="Arial"/>
                <w:sz w:val="22"/>
                <w:szCs w:val="22"/>
              </w:rPr>
              <w:t>Length of time</w:t>
            </w:r>
            <w:r>
              <w:rPr>
                <w:rFonts w:cs="Arial"/>
                <w:sz w:val="22"/>
                <w:szCs w:val="22"/>
              </w:rPr>
              <w:t xml:space="preserve"> on waiting list</w:t>
            </w:r>
          </w:p>
          <w:p w:rsidR="00086DC2" w:rsidRPr="00086DC2" w:rsidRDefault="00086DC2" w:rsidP="00086DC2">
            <w:pPr>
              <w:numPr>
                <w:ilvl w:val="0"/>
                <w:numId w:val="10"/>
              </w:numPr>
              <w:tabs>
                <w:tab w:val="clear" w:pos="1080"/>
                <w:tab w:val="left" w:pos="567"/>
                <w:tab w:val="left" w:pos="1418"/>
              </w:tabs>
              <w:spacing w:line="276" w:lineRule="auto"/>
              <w:ind w:right="170" w:hanging="370"/>
              <w:jc w:val="both"/>
              <w:rPr>
                <w:rFonts w:cs="Arial"/>
                <w:sz w:val="22"/>
                <w:szCs w:val="22"/>
              </w:rPr>
            </w:pPr>
            <w:r w:rsidRPr="00086DC2">
              <w:rPr>
                <w:sz w:val="22"/>
                <w:szCs w:val="22"/>
              </w:rPr>
              <w:t>Vacancy acceptable as a permanent basis</w:t>
            </w:r>
          </w:p>
          <w:p w:rsidR="00086DC2" w:rsidRPr="00086DC2" w:rsidRDefault="00086DC2" w:rsidP="00086DC2">
            <w:pPr>
              <w:tabs>
                <w:tab w:val="left" w:pos="567"/>
                <w:tab w:val="left" w:pos="1418"/>
              </w:tabs>
              <w:ind w:left="1363" w:right="170"/>
              <w:jc w:val="both"/>
              <w:rPr>
                <w:rFonts w:cs="Arial"/>
                <w:sz w:val="22"/>
                <w:szCs w:val="22"/>
              </w:rPr>
            </w:pPr>
          </w:p>
        </w:tc>
      </w:tr>
    </w:tbl>
    <w:p w:rsidR="00236974" w:rsidRPr="00236974" w:rsidRDefault="00236974" w:rsidP="00236974">
      <w:pPr>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2D69B"/>
        <w:tblLook w:val="04A0" w:firstRow="1" w:lastRow="0" w:firstColumn="1" w:lastColumn="0" w:noHBand="0" w:noVBand="1"/>
      </w:tblPr>
      <w:tblGrid>
        <w:gridCol w:w="10054"/>
      </w:tblGrid>
      <w:tr w:rsidR="00236974" w:rsidTr="00236974">
        <w:trPr>
          <w:trHeight w:val="468"/>
        </w:trPr>
        <w:tc>
          <w:tcPr>
            <w:tcW w:w="10054" w:type="dxa"/>
            <w:shd w:val="clear" w:color="auto" w:fill="C2D69B"/>
            <w:vAlign w:val="center"/>
          </w:tcPr>
          <w:p w:rsidR="00236974" w:rsidRDefault="00236974" w:rsidP="00236974">
            <w:pPr>
              <w:rPr>
                <w:b/>
                <w:sz w:val="22"/>
                <w:szCs w:val="22"/>
              </w:rPr>
            </w:pPr>
            <w:r w:rsidRPr="00236974">
              <w:rPr>
                <w:b/>
                <w:sz w:val="22"/>
                <w:szCs w:val="22"/>
              </w:rPr>
              <w:t>Conclusion</w:t>
            </w:r>
          </w:p>
        </w:tc>
      </w:tr>
    </w:tbl>
    <w:p w:rsidR="00236974" w:rsidRDefault="00236974" w:rsidP="00236974">
      <w:pPr>
        <w:tabs>
          <w:tab w:val="left" w:pos="1701"/>
        </w:tabs>
        <w:spacing w:before="0" w:after="0"/>
        <w:rPr>
          <w:rFonts w:cs="Arial"/>
          <w:sz w:val="18"/>
          <w:szCs w:val="18"/>
        </w:rPr>
      </w:pPr>
    </w:p>
    <w:p w:rsidR="00236974" w:rsidRDefault="00236974" w:rsidP="00656B46">
      <w:pPr>
        <w:tabs>
          <w:tab w:val="left" w:pos="1701"/>
        </w:tabs>
        <w:rPr>
          <w:rFonts w:cs="Arial"/>
          <w:sz w:val="22"/>
          <w:szCs w:val="22"/>
        </w:rPr>
      </w:pPr>
      <w:r w:rsidRPr="00194EBF">
        <w:rPr>
          <w:rFonts w:cs="Arial"/>
          <w:sz w:val="22"/>
          <w:szCs w:val="22"/>
        </w:rPr>
        <w:t>This publication is intended to ensure that pitches are allocated in a reasonable way and that applicants can see and understand how this is done.</w:t>
      </w:r>
    </w:p>
    <w:tbl>
      <w:tblPr>
        <w:tblStyle w:val="TableGrid"/>
        <w:tblW w:w="0" w:type="auto"/>
        <w:tblLook w:val="04A0" w:firstRow="1" w:lastRow="0" w:firstColumn="1" w:lastColumn="0" w:noHBand="0" w:noVBand="1"/>
      </w:tblPr>
      <w:tblGrid>
        <w:gridCol w:w="10054"/>
      </w:tblGrid>
      <w:tr w:rsidR="00236974" w:rsidTr="00236974">
        <w:trPr>
          <w:trHeight w:val="696"/>
        </w:trPr>
        <w:tc>
          <w:tcPr>
            <w:tcW w:w="10054" w:type="dxa"/>
            <w:vAlign w:val="center"/>
          </w:tcPr>
          <w:p w:rsidR="00236974" w:rsidRPr="00236974" w:rsidRDefault="00236974" w:rsidP="00236974">
            <w:pPr>
              <w:tabs>
                <w:tab w:val="left" w:pos="1701"/>
              </w:tabs>
              <w:jc w:val="both"/>
              <w:rPr>
                <w:rFonts w:cs="Arial"/>
                <w:i/>
                <w:sz w:val="22"/>
                <w:szCs w:val="22"/>
              </w:rPr>
            </w:pPr>
            <w:r w:rsidRPr="00236974">
              <w:rPr>
                <w:rFonts w:cs="Arial"/>
                <w:i/>
                <w:sz w:val="22"/>
                <w:szCs w:val="22"/>
              </w:rPr>
              <w:t>Agreed at the meeting of the “Community Services Policy Panel on Gypsies” held on 20 November 1995.  Reassessed, updated and agreed at the “Gypsy Panel Meeting” on 9 December 1999.  Revised November 2010.</w:t>
            </w:r>
          </w:p>
        </w:tc>
      </w:tr>
    </w:tbl>
    <w:p w:rsidR="00236974" w:rsidRDefault="00236974" w:rsidP="00656B46">
      <w:pPr>
        <w:tabs>
          <w:tab w:val="left" w:pos="1701"/>
        </w:tabs>
        <w:rPr>
          <w:rFonts w:cs="Arial"/>
          <w:sz w:val="22"/>
          <w:szCs w:val="22"/>
        </w:rPr>
      </w:pPr>
    </w:p>
    <w:p w:rsidR="00A82565" w:rsidRDefault="00A82565" w:rsidP="002425D9">
      <w:pPr>
        <w:spacing w:before="0" w:after="0"/>
        <w:jc w:val="center"/>
        <w:rPr>
          <w:b/>
          <w:color w:val="3B3838" w:themeColor="background2" w:themeShade="40"/>
          <w:sz w:val="4"/>
          <w:szCs w:val="4"/>
        </w:rPr>
      </w:pPr>
    </w:p>
    <w:sectPr w:rsidR="00A82565" w:rsidSect="00EB4AD5">
      <w:headerReference w:type="default" r:id="rId8"/>
      <w:footerReference w:type="default" r:id="rId9"/>
      <w:pgSz w:w="11906" w:h="16838"/>
      <w:pgMar w:top="1440" w:right="849" w:bottom="1276" w:left="993"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582" w:rsidRDefault="00EA4582" w:rsidP="00C11DF4">
      <w:pPr>
        <w:spacing w:after="0" w:line="240" w:lineRule="auto"/>
      </w:pPr>
      <w:r>
        <w:separator/>
      </w:r>
    </w:p>
  </w:endnote>
  <w:endnote w:type="continuationSeparator" w:id="0">
    <w:p w:rsidR="00EA4582" w:rsidRDefault="00EA4582" w:rsidP="00C11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20002A87"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320" w:rsidRPr="00B75C2C" w:rsidRDefault="002425D9" w:rsidP="00B75C2C">
    <w:pPr>
      <w:spacing w:after="0"/>
      <w:rPr>
        <w:i/>
        <w:sz w:val="18"/>
        <w:szCs w:val="18"/>
      </w:rPr>
    </w:pPr>
    <w:r>
      <w:rPr>
        <w:sz w:val="18"/>
        <w:szCs w:val="18"/>
      </w:rPr>
      <w:t xml:space="preserve">Doc Ref: </w:t>
    </w:r>
    <w:r w:rsidR="0004760A">
      <w:rPr>
        <w:sz w:val="18"/>
        <w:szCs w:val="18"/>
      </w:rPr>
      <w:t>F012.1</w:t>
    </w:r>
    <w:r w:rsidR="00915320" w:rsidRPr="00B75C2C">
      <w:rPr>
        <w:sz w:val="18"/>
        <w:szCs w:val="18"/>
      </w:rPr>
      <w:tab/>
    </w:r>
    <w:r w:rsidR="00915320">
      <w:rPr>
        <w:sz w:val="18"/>
        <w:szCs w:val="18"/>
      </w:rPr>
      <w:tab/>
    </w:r>
    <w:r w:rsidR="00915320">
      <w:rPr>
        <w:sz w:val="18"/>
        <w:szCs w:val="18"/>
      </w:rPr>
      <w:tab/>
    </w:r>
    <w:r w:rsidR="00915320">
      <w:rPr>
        <w:sz w:val="18"/>
        <w:szCs w:val="18"/>
      </w:rPr>
      <w:tab/>
    </w:r>
    <w:r w:rsidR="00F35C3C">
      <w:rPr>
        <w:sz w:val="18"/>
        <w:szCs w:val="18"/>
      </w:rPr>
      <w:t xml:space="preserve">                      </w:t>
    </w:r>
    <w:r w:rsidR="00EC6174">
      <w:rPr>
        <w:sz w:val="18"/>
        <w:szCs w:val="18"/>
      </w:rPr>
      <w:t>Rev: 002</w:t>
    </w:r>
    <w:r w:rsidR="00915320" w:rsidRPr="00B75C2C">
      <w:rPr>
        <w:sz w:val="18"/>
        <w:szCs w:val="18"/>
      </w:rPr>
      <w:tab/>
    </w:r>
    <w:r w:rsidR="00915320">
      <w:rPr>
        <w:sz w:val="18"/>
        <w:szCs w:val="18"/>
      </w:rPr>
      <w:tab/>
    </w:r>
    <w:r w:rsidR="00915320">
      <w:rPr>
        <w:sz w:val="18"/>
        <w:szCs w:val="18"/>
      </w:rPr>
      <w:tab/>
    </w:r>
    <w:r w:rsidR="00915320">
      <w:rPr>
        <w:sz w:val="18"/>
        <w:szCs w:val="18"/>
      </w:rPr>
      <w:tab/>
    </w:r>
    <w:r w:rsidR="00915320" w:rsidRPr="00B75C2C">
      <w:rPr>
        <w:sz w:val="18"/>
        <w:szCs w:val="18"/>
      </w:rPr>
      <w:t xml:space="preserve">Date of issue: </w:t>
    </w:r>
    <w:r w:rsidR="00EC6174">
      <w:rPr>
        <w:sz w:val="18"/>
        <w:szCs w:val="18"/>
      </w:rPr>
      <w:t>Feb 2016</w:t>
    </w:r>
  </w:p>
  <w:p w:rsidR="00915320" w:rsidRPr="00B75C2C" w:rsidRDefault="00915320" w:rsidP="00B75C2C">
    <w:pPr>
      <w:spacing w:after="0"/>
      <w:jc w:val="center"/>
      <w:rPr>
        <w:sz w:val="18"/>
        <w:szCs w:val="18"/>
      </w:rPr>
    </w:pPr>
    <w:r w:rsidRPr="00B75C2C">
      <w:rPr>
        <w:sz w:val="18"/>
        <w:szCs w:val="18"/>
      </w:rPr>
      <w:t xml:space="preserve">If printed, this document is </w:t>
    </w:r>
    <w:r w:rsidRPr="00B75C2C">
      <w:rPr>
        <w:sz w:val="18"/>
        <w:szCs w:val="18"/>
        <w:u w:val="single"/>
      </w:rPr>
      <w:t>NOT</w:t>
    </w:r>
    <w:r w:rsidRPr="00B75C2C">
      <w:rPr>
        <w:sz w:val="18"/>
        <w:szCs w:val="18"/>
      </w:rPr>
      <w:t xml:space="preserve"> controlled, please refer to the latest electronic version.</w:t>
    </w:r>
  </w:p>
  <w:p w:rsidR="00915320" w:rsidRPr="00B75C2C" w:rsidRDefault="009053F5" w:rsidP="00B75C2C">
    <w:pPr>
      <w:jc w:val="right"/>
      <w:rPr>
        <w:sz w:val="18"/>
        <w:szCs w:val="18"/>
      </w:rPr>
    </w:pPr>
    <w:sdt>
      <w:sdtPr>
        <w:rPr>
          <w:sz w:val="18"/>
          <w:szCs w:val="18"/>
        </w:rPr>
        <w:id w:val="2111314018"/>
        <w:docPartObj>
          <w:docPartGallery w:val="Page Numbers (Top of Page)"/>
          <w:docPartUnique/>
        </w:docPartObj>
      </w:sdtPr>
      <w:sdtEndPr/>
      <w:sdtContent>
        <w:r w:rsidR="00915320" w:rsidRPr="00B75C2C">
          <w:rPr>
            <w:sz w:val="18"/>
            <w:szCs w:val="18"/>
          </w:rPr>
          <w:t xml:space="preserve">Page </w:t>
        </w:r>
        <w:r w:rsidR="00915320" w:rsidRPr="00B75C2C">
          <w:rPr>
            <w:sz w:val="18"/>
            <w:szCs w:val="18"/>
          </w:rPr>
          <w:fldChar w:fldCharType="begin"/>
        </w:r>
        <w:r w:rsidR="00915320" w:rsidRPr="00B75C2C">
          <w:rPr>
            <w:sz w:val="18"/>
            <w:szCs w:val="18"/>
          </w:rPr>
          <w:instrText xml:space="preserve"> PAGE </w:instrText>
        </w:r>
        <w:r w:rsidR="00915320" w:rsidRPr="00B75C2C">
          <w:rPr>
            <w:sz w:val="18"/>
            <w:szCs w:val="18"/>
          </w:rPr>
          <w:fldChar w:fldCharType="separate"/>
        </w:r>
        <w:r w:rsidR="00232DA8">
          <w:rPr>
            <w:noProof/>
            <w:sz w:val="18"/>
            <w:szCs w:val="18"/>
          </w:rPr>
          <w:t>1</w:t>
        </w:r>
        <w:r w:rsidR="00915320" w:rsidRPr="00B75C2C">
          <w:rPr>
            <w:noProof/>
            <w:sz w:val="18"/>
            <w:szCs w:val="18"/>
          </w:rPr>
          <w:fldChar w:fldCharType="end"/>
        </w:r>
        <w:r w:rsidR="00915320" w:rsidRPr="00B75C2C">
          <w:rPr>
            <w:sz w:val="18"/>
            <w:szCs w:val="18"/>
          </w:rPr>
          <w:t xml:space="preserve"> of </w:t>
        </w:r>
        <w:r w:rsidR="00915320" w:rsidRPr="00B75C2C">
          <w:rPr>
            <w:sz w:val="18"/>
            <w:szCs w:val="18"/>
          </w:rPr>
          <w:fldChar w:fldCharType="begin"/>
        </w:r>
        <w:r w:rsidR="00915320" w:rsidRPr="00B75C2C">
          <w:rPr>
            <w:sz w:val="18"/>
            <w:szCs w:val="18"/>
          </w:rPr>
          <w:instrText xml:space="preserve"> NUMPAGES  </w:instrText>
        </w:r>
        <w:r w:rsidR="00915320" w:rsidRPr="00B75C2C">
          <w:rPr>
            <w:sz w:val="18"/>
            <w:szCs w:val="18"/>
          </w:rPr>
          <w:fldChar w:fldCharType="separate"/>
        </w:r>
        <w:r w:rsidR="00232DA8">
          <w:rPr>
            <w:noProof/>
            <w:sz w:val="18"/>
            <w:szCs w:val="18"/>
          </w:rPr>
          <w:t>3</w:t>
        </w:r>
        <w:r w:rsidR="00915320" w:rsidRPr="00B75C2C">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582" w:rsidRDefault="00EA4582" w:rsidP="00C11DF4">
      <w:pPr>
        <w:spacing w:after="0" w:line="240" w:lineRule="auto"/>
      </w:pPr>
      <w:r>
        <w:separator/>
      </w:r>
    </w:p>
  </w:footnote>
  <w:footnote w:type="continuationSeparator" w:id="0">
    <w:p w:rsidR="00EA4582" w:rsidRDefault="00EA4582" w:rsidP="00C11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320" w:rsidRPr="00C82705" w:rsidRDefault="00915320" w:rsidP="005408B1">
    <w:pPr>
      <w:pStyle w:val="Header"/>
      <w:jc w:val="right"/>
      <w:rPr>
        <w:b/>
        <w:noProof/>
        <w:sz w:val="28"/>
        <w:szCs w:val="28"/>
        <w:lang w:eastAsia="en-GB"/>
      </w:rPr>
    </w:pPr>
    <w:r w:rsidRPr="00B75C2C">
      <w:rPr>
        <w:b/>
        <w:noProof/>
        <w:sz w:val="18"/>
        <w:szCs w:val="18"/>
        <w:lang w:eastAsia="en-GB"/>
      </w:rPr>
      <w:drawing>
        <wp:anchor distT="0" distB="0" distL="114300" distR="114300" simplePos="0" relativeHeight="251672064" behindDoc="0" locked="0" layoutInCell="1" allowOverlap="1" wp14:anchorId="61A34FDC" wp14:editId="513BA115">
          <wp:simplePos x="0" y="0"/>
          <wp:positionH relativeFrom="column">
            <wp:posOffset>-76200</wp:posOffset>
          </wp:positionH>
          <wp:positionV relativeFrom="paragraph">
            <wp:posOffset>20955</wp:posOffset>
          </wp:positionV>
          <wp:extent cx="914400" cy="485775"/>
          <wp:effectExtent l="0" t="0" r="0" b="0"/>
          <wp:wrapThrough wrapText="bothSides">
            <wp:wrapPolygon edited="0">
              <wp:start x="0" y="0"/>
              <wp:lineTo x="0" y="21176"/>
              <wp:lineTo x="21150" y="21176"/>
              <wp:lineTo x="21150"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C 28mm CMYK trimm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485775"/>
                  </a:xfrm>
                  <a:prstGeom prst="rect">
                    <a:avLst/>
                  </a:prstGeom>
                </pic:spPr>
              </pic:pic>
            </a:graphicData>
          </a:graphic>
          <wp14:sizeRelH relativeFrom="page">
            <wp14:pctWidth>0</wp14:pctWidth>
          </wp14:sizeRelH>
          <wp14:sizeRelV relativeFrom="page">
            <wp14:pctHeight>0</wp14:pctHeight>
          </wp14:sizeRelV>
        </wp:anchor>
      </w:drawing>
    </w:r>
    <w:r w:rsidR="00C82705">
      <w:rPr>
        <w:b/>
        <w:noProof/>
        <w:sz w:val="18"/>
        <w:szCs w:val="18"/>
        <w:lang w:eastAsia="en-GB"/>
      </w:rPr>
      <w:t xml:space="preserve">                                                        Document Classification: Public                                     </w:t>
    </w:r>
  </w:p>
  <w:p w:rsidR="00915320" w:rsidRDefault="00915320" w:rsidP="0049145E">
    <w:pPr>
      <w:pStyle w:val="Header"/>
      <w:jc w:val="center"/>
      <w:rPr>
        <w:b/>
        <w:noProof/>
        <w:lang w:eastAsia="en-GB"/>
      </w:rPr>
    </w:pPr>
  </w:p>
  <w:p w:rsidR="00915320" w:rsidRPr="0049145E" w:rsidRDefault="00C86BFA" w:rsidP="00C86BFA">
    <w:pPr>
      <w:pStyle w:val="Header"/>
      <w:tabs>
        <w:tab w:val="left" w:pos="480"/>
      </w:tabs>
      <w:rPr>
        <w:b/>
        <w:noProof/>
        <w:lang w:eastAsia="en-GB"/>
      </w:rPr>
    </w:pPr>
    <w:r>
      <w:rPr>
        <w:b/>
        <w:noProof/>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4366C"/>
    <w:multiLevelType w:val="hybridMultilevel"/>
    <w:tmpl w:val="BF04B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FC494B"/>
    <w:multiLevelType w:val="hybridMultilevel"/>
    <w:tmpl w:val="EA64A47A"/>
    <w:lvl w:ilvl="0" w:tplc="7E68CD56">
      <w:start w:val="1"/>
      <w:numFmt w:val="decimal"/>
      <w:lvlText w:val="%1."/>
      <w:lvlJc w:val="left"/>
      <w:pPr>
        <w:tabs>
          <w:tab w:val="num" w:pos="1080"/>
        </w:tabs>
        <w:ind w:left="1363" w:hanging="283"/>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8C72E67"/>
    <w:multiLevelType w:val="hybridMultilevel"/>
    <w:tmpl w:val="21F65672"/>
    <w:lvl w:ilvl="0" w:tplc="0BA87C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5A4C64"/>
    <w:multiLevelType w:val="hybridMultilevel"/>
    <w:tmpl w:val="B8B8E206"/>
    <w:lvl w:ilvl="0" w:tplc="50228180">
      <w:start w:val="1"/>
      <w:numFmt w:val="bullet"/>
      <w:lvlText w:val=""/>
      <w:lvlJc w:val="left"/>
      <w:pPr>
        <w:tabs>
          <w:tab w:val="num" w:pos="2130"/>
        </w:tabs>
        <w:ind w:left="2130" w:hanging="624"/>
      </w:pPr>
      <w:rPr>
        <w:rFonts w:ascii="Symbol" w:hAnsi="Symbol"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4" w15:restartNumberingAfterBreak="0">
    <w:nsid w:val="20951D72"/>
    <w:multiLevelType w:val="hybridMultilevel"/>
    <w:tmpl w:val="C5BAE34C"/>
    <w:lvl w:ilvl="0" w:tplc="8F0C4332">
      <w:start w:val="1"/>
      <w:numFmt w:val="lowerLetter"/>
      <w:lvlText w:val="%1."/>
      <w:lvlJc w:val="left"/>
      <w:pPr>
        <w:tabs>
          <w:tab w:val="num" w:pos="1533"/>
        </w:tabs>
        <w:ind w:left="1477" w:hanging="39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0DD6B2E"/>
    <w:multiLevelType w:val="hybridMultilevel"/>
    <w:tmpl w:val="30023B00"/>
    <w:lvl w:ilvl="0" w:tplc="9DE61858">
      <w:start w:val="1"/>
      <w:numFmt w:val="lowerLetter"/>
      <w:lvlText w:val="%1."/>
      <w:lvlJc w:val="left"/>
      <w:pPr>
        <w:tabs>
          <w:tab w:val="num" w:pos="1533"/>
        </w:tabs>
        <w:ind w:left="1477" w:hanging="39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7EE0225"/>
    <w:multiLevelType w:val="hybridMultilevel"/>
    <w:tmpl w:val="4768DC44"/>
    <w:lvl w:ilvl="0" w:tplc="5CAA3FC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C15A09"/>
    <w:multiLevelType w:val="hybridMultilevel"/>
    <w:tmpl w:val="AF5851C2"/>
    <w:lvl w:ilvl="0" w:tplc="F38E4BFE">
      <w:numFmt w:val="bullet"/>
      <w:lvlText w:val="-"/>
      <w:lvlJc w:val="left"/>
      <w:pPr>
        <w:ind w:left="405" w:hanging="360"/>
      </w:pPr>
      <w:rPr>
        <w:rFonts w:ascii="Calibri" w:eastAsia="Calibri" w:hAnsi="Calibri"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8" w15:restartNumberingAfterBreak="0">
    <w:nsid w:val="5ADF6B61"/>
    <w:multiLevelType w:val="hybridMultilevel"/>
    <w:tmpl w:val="DB9A286A"/>
    <w:lvl w:ilvl="0" w:tplc="EFD8CCC0">
      <w:start w:val="1"/>
      <w:numFmt w:val="decimal"/>
      <w:lvlText w:val="%1."/>
      <w:lvlJc w:val="left"/>
      <w:pPr>
        <w:ind w:left="928" w:hanging="360"/>
      </w:pPr>
      <w:rPr>
        <w:rFonts w:hint="default"/>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097F57"/>
    <w:multiLevelType w:val="multilevel"/>
    <w:tmpl w:val="BF6C4952"/>
    <w:lvl w:ilvl="0">
      <w:start w:val="1"/>
      <w:numFmt w:val="decimal"/>
      <w:lvlText w:val="%1."/>
      <w:lvlJc w:val="left"/>
      <w:pPr>
        <w:tabs>
          <w:tab w:val="num" w:pos="454"/>
        </w:tabs>
        <w:ind w:left="454" w:hanging="454"/>
      </w:pPr>
      <w:rPr>
        <w:rFonts w:hint="default"/>
      </w:rPr>
    </w:lvl>
    <w:lvl w:ilvl="1">
      <w:start w:val="1"/>
      <w:numFmt w:val="decimal"/>
      <w:isLgl/>
      <w:lvlText w:val="%1.%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CFB5420"/>
    <w:multiLevelType w:val="hybridMultilevel"/>
    <w:tmpl w:val="48542116"/>
    <w:lvl w:ilvl="0" w:tplc="99C6D8A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B06353"/>
    <w:multiLevelType w:val="hybridMultilevel"/>
    <w:tmpl w:val="BF04B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916F75"/>
    <w:multiLevelType w:val="hybridMultilevel"/>
    <w:tmpl w:val="599887CC"/>
    <w:lvl w:ilvl="0" w:tplc="A6708922">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FE156D"/>
    <w:multiLevelType w:val="hybridMultilevel"/>
    <w:tmpl w:val="791EEAD8"/>
    <w:lvl w:ilvl="0" w:tplc="0BA87C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13"/>
  </w:num>
  <w:num w:numId="4">
    <w:abstractNumId w:val="7"/>
  </w:num>
  <w:num w:numId="5">
    <w:abstractNumId w:val="8"/>
  </w:num>
  <w:num w:numId="6">
    <w:abstractNumId w:val="12"/>
  </w:num>
  <w:num w:numId="7">
    <w:abstractNumId w:val="9"/>
  </w:num>
  <w:num w:numId="8">
    <w:abstractNumId w:val="4"/>
  </w:num>
  <w:num w:numId="9">
    <w:abstractNumId w:val="5"/>
  </w:num>
  <w:num w:numId="10">
    <w:abstractNumId w:val="1"/>
  </w:num>
  <w:num w:numId="11">
    <w:abstractNumId w:val="3"/>
  </w:num>
  <w:num w:numId="12">
    <w:abstractNumId w:val="10"/>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D3"/>
    <w:rsid w:val="00020A5F"/>
    <w:rsid w:val="0003750E"/>
    <w:rsid w:val="0004760A"/>
    <w:rsid w:val="00055A29"/>
    <w:rsid w:val="00071FFD"/>
    <w:rsid w:val="00086DC2"/>
    <w:rsid w:val="00093952"/>
    <w:rsid w:val="00095DD6"/>
    <w:rsid w:val="000C3063"/>
    <w:rsid w:val="000E18BF"/>
    <w:rsid w:val="000F1E87"/>
    <w:rsid w:val="00103CB1"/>
    <w:rsid w:val="00113D7B"/>
    <w:rsid w:val="00171666"/>
    <w:rsid w:val="00173FEA"/>
    <w:rsid w:val="0019706C"/>
    <w:rsid w:val="001B6634"/>
    <w:rsid w:val="001E1E83"/>
    <w:rsid w:val="00232DA8"/>
    <w:rsid w:val="00236974"/>
    <w:rsid w:val="002425D9"/>
    <w:rsid w:val="0026069A"/>
    <w:rsid w:val="00261509"/>
    <w:rsid w:val="002657CC"/>
    <w:rsid w:val="00290968"/>
    <w:rsid w:val="002B1564"/>
    <w:rsid w:val="002F30CC"/>
    <w:rsid w:val="002F7896"/>
    <w:rsid w:val="0030736F"/>
    <w:rsid w:val="0031552B"/>
    <w:rsid w:val="00321E3F"/>
    <w:rsid w:val="00327196"/>
    <w:rsid w:val="0035078B"/>
    <w:rsid w:val="003535F3"/>
    <w:rsid w:val="003668D2"/>
    <w:rsid w:val="00367BBA"/>
    <w:rsid w:val="00393078"/>
    <w:rsid w:val="003B349D"/>
    <w:rsid w:val="003C7FEF"/>
    <w:rsid w:val="004014ED"/>
    <w:rsid w:val="00405724"/>
    <w:rsid w:val="004065BE"/>
    <w:rsid w:val="00406C19"/>
    <w:rsid w:val="004256C9"/>
    <w:rsid w:val="00434083"/>
    <w:rsid w:val="00436255"/>
    <w:rsid w:val="00440FCA"/>
    <w:rsid w:val="00464B66"/>
    <w:rsid w:val="0049145E"/>
    <w:rsid w:val="004D5B78"/>
    <w:rsid w:val="004E2B3E"/>
    <w:rsid w:val="0050184B"/>
    <w:rsid w:val="0051154A"/>
    <w:rsid w:val="00511F4B"/>
    <w:rsid w:val="005408B1"/>
    <w:rsid w:val="00550D46"/>
    <w:rsid w:val="0056460D"/>
    <w:rsid w:val="00565FD3"/>
    <w:rsid w:val="00575C7D"/>
    <w:rsid w:val="005C170D"/>
    <w:rsid w:val="005F03E2"/>
    <w:rsid w:val="00625E15"/>
    <w:rsid w:val="00633C15"/>
    <w:rsid w:val="00634426"/>
    <w:rsid w:val="0064372F"/>
    <w:rsid w:val="0064648A"/>
    <w:rsid w:val="0065137C"/>
    <w:rsid w:val="0065247B"/>
    <w:rsid w:val="00656B46"/>
    <w:rsid w:val="0069339B"/>
    <w:rsid w:val="006C4A47"/>
    <w:rsid w:val="006E4F93"/>
    <w:rsid w:val="006F05C6"/>
    <w:rsid w:val="0071009A"/>
    <w:rsid w:val="007508A2"/>
    <w:rsid w:val="007B1712"/>
    <w:rsid w:val="007B30C7"/>
    <w:rsid w:val="008144D1"/>
    <w:rsid w:val="008806CF"/>
    <w:rsid w:val="008B7475"/>
    <w:rsid w:val="008B75C2"/>
    <w:rsid w:val="008E0E40"/>
    <w:rsid w:val="008F2C5B"/>
    <w:rsid w:val="009005EF"/>
    <w:rsid w:val="009053F5"/>
    <w:rsid w:val="00907AD8"/>
    <w:rsid w:val="00910525"/>
    <w:rsid w:val="009112AE"/>
    <w:rsid w:val="00915320"/>
    <w:rsid w:val="009172BF"/>
    <w:rsid w:val="0092019A"/>
    <w:rsid w:val="0094685A"/>
    <w:rsid w:val="00951C6F"/>
    <w:rsid w:val="009759BB"/>
    <w:rsid w:val="009C6010"/>
    <w:rsid w:val="009E671D"/>
    <w:rsid w:val="009F253A"/>
    <w:rsid w:val="00A44DB2"/>
    <w:rsid w:val="00A66AFA"/>
    <w:rsid w:val="00A82565"/>
    <w:rsid w:val="00A92794"/>
    <w:rsid w:val="00A93572"/>
    <w:rsid w:val="00AE172F"/>
    <w:rsid w:val="00AF2B08"/>
    <w:rsid w:val="00B016BF"/>
    <w:rsid w:val="00B249BD"/>
    <w:rsid w:val="00B54826"/>
    <w:rsid w:val="00B75C2C"/>
    <w:rsid w:val="00BB59B8"/>
    <w:rsid w:val="00BD5813"/>
    <w:rsid w:val="00BE72A2"/>
    <w:rsid w:val="00C11673"/>
    <w:rsid w:val="00C11DF4"/>
    <w:rsid w:val="00C3386C"/>
    <w:rsid w:val="00C46A21"/>
    <w:rsid w:val="00C70135"/>
    <w:rsid w:val="00C72585"/>
    <w:rsid w:val="00C82705"/>
    <w:rsid w:val="00C86BFA"/>
    <w:rsid w:val="00CC0CF2"/>
    <w:rsid w:val="00CE37C8"/>
    <w:rsid w:val="00D10F71"/>
    <w:rsid w:val="00D23ED4"/>
    <w:rsid w:val="00D32600"/>
    <w:rsid w:val="00D66BC9"/>
    <w:rsid w:val="00D758D4"/>
    <w:rsid w:val="00DB3B8F"/>
    <w:rsid w:val="00DD3A1D"/>
    <w:rsid w:val="00DE41B1"/>
    <w:rsid w:val="00DF0872"/>
    <w:rsid w:val="00DF4B55"/>
    <w:rsid w:val="00E2481D"/>
    <w:rsid w:val="00E3478A"/>
    <w:rsid w:val="00E475D6"/>
    <w:rsid w:val="00E5685A"/>
    <w:rsid w:val="00E672DE"/>
    <w:rsid w:val="00E7763F"/>
    <w:rsid w:val="00E81619"/>
    <w:rsid w:val="00E8198D"/>
    <w:rsid w:val="00EA4582"/>
    <w:rsid w:val="00EB4AD5"/>
    <w:rsid w:val="00EC3EFC"/>
    <w:rsid w:val="00EC6174"/>
    <w:rsid w:val="00EE5EAC"/>
    <w:rsid w:val="00EF39C3"/>
    <w:rsid w:val="00EF5DFB"/>
    <w:rsid w:val="00F0592E"/>
    <w:rsid w:val="00F35C3C"/>
    <w:rsid w:val="00F50690"/>
    <w:rsid w:val="00F80499"/>
    <w:rsid w:val="00FE4956"/>
    <w:rsid w:val="00FF4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272CDB4-E950-46B1-B259-2DBA7202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F253A"/>
  </w:style>
  <w:style w:type="paragraph" w:styleId="Heading1">
    <w:name w:val="heading 1"/>
    <w:basedOn w:val="Normal"/>
    <w:next w:val="Normal"/>
    <w:link w:val="Heading1Char"/>
    <w:uiPriority w:val="9"/>
    <w:qFormat/>
    <w:rsid w:val="009F253A"/>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9F253A"/>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F253A"/>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9F253A"/>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9F253A"/>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9F253A"/>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9F253A"/>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9F253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F253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D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DF4"/>
  </w:style>
  <w:style w:type="paragraph" w:styleId="Footer">
    <w:name w:val="footer"/>
    <w:basedOn w:val="Normal"/>
    <w:link w:val="FooterChar"/>
    <w:uiPriority w:val="99"/>
    <w:unhideWhenUsed/>
    <w:rsid w:val="00C11D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DF4"/>
  </w:style>
  <w:style w:type="paragraph" w:styleId="BalloonText">
    <w:name w:val="Balloon Text"/>
    <w:basedOn w:val="Normal"/>
    <w:link w:val="BalloonTextChar"/>
    <w:uiPriority w:val="99"/>
    <w:semiHidden/>
    <w:unhideWhenUsed/>
    <w:rsid w:val="00750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8A2"/>
    <w:rPr>
      <w:rFonts w:ascii="Tahoma" w:hAnsi="Tahoma" w:cs="Tahoma"/>
      <w:sz w:val="16"/>
      <w:szCs w:val="16"/>
    </w:rPr>
  </w:style>
  <w:style w:type="paragraph" w:styleId="ListParagraph">
    <w:name w:val="List Paragraph"/>
    <w:basedOn w:val="Normal"/>
    <w:uiPriority w:val="34"/>
    <w:qFormat/>
    <w:rsid w:val="0049145E"/>
    <w:pPr>
      <w:ind w:left="720"/>
      <w:contextualSpacing/>
    </w:pPr>
  </w:style>
  <w:style w:type="paragraph" w:styleId="NoSpacing">
    <w:name w:val="No Spacing"/>
    <w:uiPriority w:val="1"/>
    <w:qFormat/>
    <w:rsid w:val="009F253A"/>
    <w:pPr>
      <w:spacing w:after="0" w:line="240" w:lineRule="auto"/>
    </w:pPr>
  </w:style>
  <w:style w:type="paragraph" w:styleId="CommentText">
    <w:name w:val="annotation text"/>
    <w:basedOn w:val="Normal"/>
    <w:link w:val="CommentTextChar"/>
    <w:rsid w:val="00F0592E"/>
    <w:pPr>
      <w:spacing w:after="0" w:line="240" w:lineRule="auto"/>
      <w:jc w:val="both"/>
    </w:pPr>
    <w:rPr>
      <w:rFonts w:ascii="Times New Roman" w:eastAsia="Times New Roman" w:hAnsi="Times New Roman" w:cs="Times New Roman"/>
    </w:rPr>
  </w:style>
  <w:style w:type="character" w:customStyle="1" w:styleId="CommentTextChar">
    <w:name w:val="Comment Text Char"/>
    <w:basedOn w:val="DefaultParagraphFont"/>
    <w:link w:val="CommentText"/>
    <w:rsid w:val="00F0592E"/>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9F253A"/>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9F253A"/>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9F253A"/>
    <w:rPr>
      <w:caps/>
      <w:color w:val="1F4D78" w:themeColor="accent1" w:themeShade="7F"/>
      <w:spacing w:val="15"/>
    </w:rPr>
  </w:style>
  <w:style w:type="character" w:customStyle="1" w:styleId="Heading4Char">
    <w:name w:val="Heading 4 Char"/>
    <w:basedOn w:val="DefaultParagraphFont"/>
    <w:link w:val="Heading4"/>
    <w:uiPriority w:val="9"/>
    <w:semiHidden/>
    <w:rsid w:val="009F253A"/>
    <w:rPr>
      <w:caps/>
      <w:color w:val="2E74B5" w:themeColor="accent1" w:themeShade="BF"/>
      <w:spacing w:val="10"/>
    </w:rPr>
  </w:style>
  <w:style w:type="character" w:customStyle="1" w:styleId="Heading5Char">
    <w:name w:val="Heading 5 Char"/>
    <w:basedOn w:val="DefaultParagraphFont"/>
    <w:link w:val="Heading5"/>
    <w:uiPriority w:val="9"/>
    <w:semiHidden/>
    <w:rsid w:val="009F253A"/>
    <w:rPr>
      <w:caps/>
      <w:color w:val="2E74B5" w:themeColor="accent1" w:themeShade="BF"/>
      <w:spacing w:val="10"/>
    </w:rPr>
  </w:style>
  <w:style w:type="character" w:customStyle="1" w:styleId="Heading6Char">
    <w:name w:val="Heading 6 Char"/>
    <w:basedOn w:val="DefaultParagraphFont"/>
    <w:link w:val="Heading6"/>
    <w:uiPriority w:val="9"/>
    <w:semiHidden/>
    <w:rsid w:val="009F253A"/>
    <w:rPr>
      <w:caps/>
      <w:color w:val="2E74B5" w:themeColor="accent1" w:themeShade="BF"/>
      <w:spacing w:val="10"/>
    </w:rPr>
  </w:style>
  <w:style w:type="character" w:customStyle="1" w:styleId="Heading7Char">
    <w:name w:val="Heading 7 Char"/>
    <w:basedOn w:val="DefaultParagraphFont"/>
    <w:link w:val="Heading7"/>
    <w:uiPriority w:val="9"/>
    <w:semiHidden/>
    <w:rsid w:val="009F253A"/>
    <w:rPr>
      <w:caps/>
      <w:color w:val="2E74B5" w:themeColor="accent1" w:themeShade="BF"/>
      <w:spacing w:val="10"/>
    </w:rPr>
  </w:style>
  <w:style w:type="character" w:customStyle="1" w:styleId="Heading8Char">
    <w:name w:val="Heading 8 Char"/>
    <w:basedOn w:val="DefaultParagraphFont"/>
    <w:link w:val="Heading8"/>
    <w:uiPriority w:val="9"/>
    <w:semiHidden/>
    <w:rsid w:val="009F253A"/>
    <w:rPr>
      <w:caps/>
      <w:spacing w:val="10"/>
      <w:sz w:val="18"/>
      <w:szCs w:val="18"/>
    </w:rPr>
  </w:style>
  <w:style w:type="character" w:customStyle="1" w:styleId="Heading9Char">
    <w:name w:val="Heading 9 Char"/>
    <w:basedOn w:val="DefaultParagraphFont"/>
    <w:link w:val="Heading9"/>
    <w:uiPriority w:val="9"/>
    <w:semiHidden/>
    <w:rsid w:val="009F253A"/>
    <w:rPr>
      <w:i/>
      <w:iCs/>
      <w:caps/>
      <w:spacing w:val="10"/>
      <w:sz w:val="18"/>
      <w:szCs w:val="18"/>
    </w:rPr>
  </w:style>
  <w:style w:type="paragraph" w:styleId="Caption">
    <w:name w:val="caption"/>
    <w:basedOn w:val="Normal"/>
    <w:next w:val="Normal"/>
    <w:uiPriority w:val="35"/>
    <w:semiHidden/>
    <w:unhideWhenUsed/>
    <w:qFormat/>
    <w:rsid w:val="009F253A"/>
    <w:rPr>
      <w:b/>
      <w:bCs/>
      <w:color w:val="2E74B5" w:themeColor="accent1" w:themeShade="BF"/>
      <w:sz w:val="16"/>
      <w:szCs w:val="16"/>
    </w:rPr>
  </w:style>
  <w:style w:type="paragraph" w:styleId="Title">
    <w:name w:val="Title"/>
    <w:basedOn w:val="Normal"/>
    <w:next w:val="Normal"/>
    <w:link w:val="TitleChar"/>
    <w:uiPriority w:val="10"/>
    <w:qFormat/>
    <w:rsid w:val="009F253A"/>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9F253A"/>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9F253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F253A"/>
    <w:rPr>
      <w:caps/>
      <w:color w:val="595959" w:themeColor="text1" w:themeTint="A6"/>
      <w:spacing w:val="10"/>
      <w:sz w:val="21"/>
      <w:szCs w:val="21"/>
    </w:rPr>
  </w:style>
  <w:style w:type="character" w:styleId="Strong">
    <w:name w:val="Strong"/>
    <w:uiPriority w:val="22"/>
    <w:qFormat/>
    <w:rsid w:val="009F253A"/>
    <w:rPr>
      <w:b/>
      <w:bCs/>
    </w:rPr>
  </w:style>
  <w:style w:type="character" w:styleId="Emphasis">
    <w:name w:val="Emphasis"/>
    <w:uiPriority w:val="20"/>
    <w:qFormat/>
    <w:rsid w:val="009F253A"/>
    <w:rPr>
      <w:caps/>
      <w:color w:val="1F4D78" w:themeColor="accent1" w:themeShade="7F"/>
      <w:spacing w:val="5"/>
    </w:rPr>
  </w:style>
  <w:style w:type="paragraph" w:styleId="Quote">
    <w:name w:val="Quote"/>
    <w:basedOn w:val="Normal"/>
    <w:next w:val="Normal"/>
    <w:link w:val="QuoteChar"/>
    <w:uiPriority w:val="29"/>
    <w:qFormat/>
    <w:rsid w:val="009F253A"/>
    <w:rPr>
      <w:i/>
      <w:iCs/>
      <w:sz w:val="24"/>
      <w:szCs w:val="24"/>
    </w:rPr>
  </w:style>
  <w:style w:type="character" w:customStyle="1" w:styleId="QuoteChar">
    <w:name w:val="Quote Char"/>
    <w:basedOn w:val="DefaultParagraphFont"/>
    <w:link w:val="Quote"/>
    <w:uiPriority w:val="29"/>
    <w:rsid w:val="009F253A"/>
    <w:rPr>
      <w:i/>
      <w:iCs/>
      <w:sz w:val="24"/>
      <w:szCs w:val="24"/>
    </w:rPr>
  </w:style>
  <w:style w:type="paragraph" w:styleId="IntenseQuote">
    <w:name w:val="Intense Quote"/>
    <w:basedOn w:val="Normal"/>
    <w:next w:val="Normal"/>
    <w:link w:val="IntenseQuoteChar"/>
    <w:uiPriority w:val="30"/>
    <w:qFormat/>
    <w:rsid w:val="009F253A"/>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9F253A"/>
    <w:rPr>
      <w:color w:val="5B9BD5" w:themeColor="accent1"/>
      <w:sz w:val="24"/>
      <w:szCs w:val="24"/>
    </w:rPr>
  </w:style>
  <w:style w:type="character" w:styleId="SubtleEmphasis">
    <w:name w:val="Subtle Emphasis"/>
    <w:uiPriority w:val="19"/>
    <w:qFormat/>
    <w:rsid w:val="009F253A"/>
    <w:rPr>
      <w:i/>
      <w:iCs/>
      <w:color w:val="1F4D78" w:themeColor="accent1" w:themeShade="7F"/>
    </w:rPr>
  </w:style>
  <w:style w:type="character" w:styleId="IntenseEmphasis">
    <w:name w:val="Intense Emphasis"/>
    <w:uiPriority w:val="21"/>
    <w:qFormat/>
    <w:rsid w:val="009F253A"/>
    <w:rPr>
      <w:b/>
      <w:bCs/>
      <w:caps/>
      <w:color w:val="1F4D78" w:themeColor="accent1" w:themeShade="7F"/>
      <w:spacing w:val="10"/>
    </w:rPr>
  </w:style>
  <w:style w:type="character" w:styleId="SubtleReference">
    <w:name w:val="Subtle Reference"/>
    <w:uiPriority w:val="31"/>
    <w:qFormat/>
    <w:rsid w:val="009F253A"/>
    <w:rPr>
      <w:b/>
      <w:bCs/>
      <w:color w:val="5B9BD5" w:themeColor="accent1"/>
    </w:rPr>
  </w:style>
  <w:style w:type="character" w:styleId="IntenseReference">
    <w:name w:val="Intense Reference"/>
    <w:uiPriority w:val="32"/>
    <w:qFormat/>
    <w:rsid w:val="009F253A"/>
    <w:rPr>
      <w:b/>
      <w:bCs/>
      <w:i/>
      <w:iCs/>
      <w:caps/>
      <w:color w:val="5B9BD5" w:themeColor="accent1"/>
    </w:rPr>
  </w:style>
  <w:style w:type="character" w:styleId="BookTitle">
    <w:name w:val="Book Title"/>
    <w:uiPriority w:val="33"/>
    <w:qFormat/>
    <w:rsid w:val="009F253A"/>
    <w:rPr>
      <w:b/>
      <w:bCs/>
      <w:i/>
      <w:iCs/>
      <w:spacing w:val="0"/>
    </w:rPr>
  </w:style>
  <w:style w:type="paragraph" w:styleId="TOCHeading">
    <w:name w:val="TOC Heading"/>
    <w:basedOn w:val="Heading1"/>
    <w:next w:val="Normal"/>
    <w:uiPriority w:val="39"/>
    <w:semiHidden/>
    <w:unhideWhenUsed/>
    <w:qFormat/>
    <w:rsid w:val="009F253A"/>
    <w:pPr>
      <w:outlineLvl w:val="9"/>
    </w:pPr>
  </w:style>
  <w:style w:type="table" w:styleId="TableGrid">
    <w:name w:val="Table Grid"/>
    <w:basedOn w:val="TableNormal"/>
    <w:uiPriority w:val="59"/>
    <w:rsid w:val="00020A5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56B46"/>
    <w:pPr>
      <w:tabs>
        <w:tab w:val="left" w:pos="567"/>
      </w:tabs>
      <w:spacing w:before="0" w:after="0" w:line="240" w:lineRule="auto"/>
      <w:ind w:left="567" w:hanging="567"/>
      <w:jc w:val="both"/>
    </w:pPr>
    <w:rPr>
      <w:rFonts w:ascii="Times New Roman" w:eastAsia="Times New Roman" w:hAnsi="Times New Roman" w:cs="Times New Roman"/>
      <w:sz w:val="22"/>
      <w:szCs w:val="22"/>
      <w:lang w:eastAsia="en-GB"/>
    </w:rPr>
  </w:style>
  <w:style w:type="character" w:customStyle="1" w:styleId="BodyTextIndentChar">
    <w:name w:val="Body Text Indent Char"/>
    <w:basedOn w:val="DefaultParagraphFont"/>
    <w:link w:val="BodyTextIndent"/>
    <w:rsid w:val="00656B46"/>
    <w:rPr>
      <w:rFonts w:ascii="Times New Roman" w:eastAsia="Times New Roman" w:hAnsi="Times New Roman" w:cs="Times New Roman"/>
      <w:sz w:val="22"/>
      <w:szCs w:val="22"/>
      <w:lang w:eastAsia="en-GB"/>
    </w:rPr>
  </w:style>
  <w:style w:type="paragraph" w:styleId="BodyText2">
    <w:name w:val="Body Text 2"/>
    <w:basedOn w:val="Normal"/>
    <w:link w:val="BodyText2Char"/>
    <w:rsid w:val="00656B46"/>
    <w:pPr>
      <w:spacing w:before="0" w:after="120" w:line="480" w:lineRule="auto"/>
    </w:pPr>
    <w:rPr>
      <w:rFonts w:ascii="Arial" w:eastAsia="Times New Roman" w:hAnsi="Arial" w:cs="Times New Roman"/>
      <w:sz w:val="24"/>
      <w:szCs w:val="24"/>
      <w:lang w:eastAsia="en-GB"/>
    </w:rPr>
  </w:style>
  <w:style w:type="character" w:customStyle="1" w:styleId="BodyText2Char">
    <w:name w:val="Body Text 2 Char"/>
    <w:basedOn w:val="DefaultParagraphFont"/>
    <w:link w:val="BodyText2"/>
    <w:rsid w:val="00656B46"/>
    <w:rPr>
      <w:rFonts w:ascii="Arial" w:eastAsia="Times New Roman" w:hAnsi="Arial" w:cs="Times New Roman"/>
      <w:sz w:val="24"/>
      <w:szCs w:val="24"/>
      <w:lang w:eastAsia="en-GB"/>
    </w:rPr>
  </w:style>
  <w:style w:type="paragraph" w:styleId="BodyText">
    <w:name w:val="Body Text"/>
    <w:basedOn w:val="Normal"/>
    <w:link w:val="BodyTextChar"/>
    <w:rsid w:val="00656B46"/>
    <w:pPr>
      <w:spacing w:before="0" w:after="120" w:line="240" w:lineRule="auto"/>
    </w:pPr>
    <w:rPr>
      <w:rFonts w:ascii="Arial" w:eastAsia="Times New Roman" w:hAnsi="Arial" w:cs="Times New Roman"/>
      <w:sz w:val="24"/>
      <w:szCs w:val="24"/>
      <w:lang w:eastAsia="en-GB"/>
    </w:rPr>
  </w:style>
  <w:style w:type="character" w:customStyle="1" w:styleId="BodyTextChar">
    <w:name w:val="Body Text Char"/>
    <w:basedOn w:val="DefaultParagraphFont"/>
    <w:link w:val="BodyText"/>
    <w:rsid w:val="00656B46"/>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067094">
      <w:bodyDiv w:val="1"/>
      <w:marLeft w:val="0"/>
      <w:marRight w:val="0"/>
      <w:marTop w:val="0"/>
      <w:marBottom w:val="0"/>
      <w:divBdr>
        <w:top w:val="none" w:sz="0" w:space="0" w:color="auto"/>
        <w:left w:val="none" w:sz="0" w:space="0" w:color="auto"/>
        <w:bottom w:val="none" w:sz="0" w:space="0" w:color="auto"/>
        <w:right w:val="none" w:sz="0" w:space="0" w:color="auto"/>
      </w:divBdr>
    </w:div>
    <w:div w:id="757406155">
      <w:bodyDiv w:val="1"/>
      <w:marLeft w:val="0"/>
      <w:marRight w:val="0"/>
      <w:marTop w:val="0"/>
      <w:marBottom w:val="0"/>
      <w:divBdr>
        <w:top w:val="none" w:sz="0" w:space="0" w:color="auto"/>
        <w:left w:val="none" w:sz="0" w:space="0" w:color="auto"/>
        <w:bottom w:val="none" w:sz="0" w:space="0" w:color="auto"/>
        <w:right w:val="none" w:sz="0" w:space="0" w:color="auto"/>
      </w:divBdr>
    </w:div>
    <w:div w:id="1306159381">
      <w:bodyDiv w:val="1"/>
      <w:marLeft w:val="0"/>
      <w:marRight w:val="0"/>
      <w:marTop w:val="0"/>
      <w:marBottom w:val="0"/>
      <w:divBdr>
        <w:top w:val="none" w:sz="0" w:space="0" w:color="auto"/>
        <w:left w:val="none" w:sz="0" w:space="0" w:color="auto"/>
        <w:bottom w:val="none" w:sz="0" w:space="0" w:color="auto"/>
        <w:right w:val="none" w:sz="0" w:space="0" w:color="auto"/>
      </w:divBdr>
    </w:div>
    <w:div w:id="163645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dministrator\My%20Documents\Business\Management%20System%20Document%20Templates\ML-TMP-001%20Business%20Management%20System%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9195E-61D3-49CB-9B01-0DDC6E961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ML-TMP-001 Business Management System Word Template</Template>
  <TotalTime>10</TotalTime>
  <Pages>3</Pages>
  <Words>905</Words>
  <Characters>5163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GSQM-006</vt:lpstr>
    </vt:vector>
  </TitlesOfParts>
  <Company>HP</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GSQM-006</dc:title>
  <dc:subject/>
  <dc:creator>Bridget Calvert</dc:creator>
  <cp:keywords/>
  <dc:description/>
  <cp:lastModifiedBy>George Webber</cp:lastModifiedBy>
  <cp:revision>2</cp:revision>
  <cp:lastPrinted>2016-02-04T13:13:00Z</cp:lastPrinted>
  <dcterms:created xsi:type="dcterms:W3CDTF">2021-07-05T09:35:00Z</dcterms:created>
  <dcterms:modified xsi:type="dcterms:W3CDTF">2021-07-05T09:35:00Z</dcterms:modified>
</cp:coreProperties>
</file>