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1F" w:rsidRPr="0051271F" w:rsidRDefault="00D260C7" w:rsidP="0051271F">
      <w:pPr>
        <w:pStyle w:val="Pa2"/>
        <w:rPr>
          <w:b/>
          <w:bCs/>
          <w:color w:val="000000"/>
          <w:sz w:val="23"/>
          <w:szCs w:val="23"/>
        </w:rPr>
      </w:pPr>
      <w:r w:rsidRPr="0051271F">
        <w:rPr>
          <w:b/>
          <w:bCs/>
          <w:color w:val="000000"/>
          <w:sz w:val="40"/>
          <w:szCs w:val="40"/>
        </w:rPr>
        <w:t>Executive Summary – Hertford &amp; Ware</w:t>
      </w:r>
      <w:bookmarkStart w:id="0" w:name="_GoBack"/>
      <w:bookmarkEnd w:id="0"/>
    </w:p>
    <w:p w:rsidR="0051271F" w:rsidRPr="0051271F" w:rsidRDefault="003171E6" w:rsidP="0051271F">
      <w:pPr>
        <w:pStyle w:val="Pa0"/>
        <w:rPr>
          <w:b/>
          <w:bCs/>
          <w:color w:val="000000"/>
        </w:rPr>
      </w:pPr>
      <w:r w:rsidRPr="0051271F">
        <w:rPr>
          <w:b/>
          <w:bCs/>
          <w:color w:val="000000"/>
        </w:rPr>
        <w:t>Introduction</w:t>
      </w:r>
    </w:p>
    <w:p w:rsidR="0051271F" w:rsidRPr="0051271F" w:rsidRDefault="00F1154E" w:rsidP="0051271F">
      <w:pPr>
        <w:pStyle w:val="Pa0"/>
        <w:rPr>
          <w:sz w:val="22"/>
          <w:szCs w:val="22"/>
        </w:rPr>
      </w:pPr>
      <w:r w:rsidRPr="0051271F">
        <w:rPr>
          <w:sz w:val="22"/>
          <w:szCs w:val="22"/>
        </w:rPr>
        <w:t>A series of town based evidence packs have been developed to support the emerging Growth and Transport plans. These include analysis of a range of so</w:t>
      </w:r>
      <w:r w:rsidRPr="0051271F">
        <w:rPr>
          <w:sz w:val="22"/>
          <w:szCs w:val="22"/>
        </w:rPr>
        <w:softHyphen/>
        <w:t>cioeconomic, land use, demographic factors, and consideration of current transport provision and usage to identify issues and constraints in relation to travel to / from and within the towns. An assessment is also included of likely future transport pressures taking into account proposed growth and predictions from modelling work using the county</w:t>
      </w:r>
      <w:r w:rsidRPr="0051271F">
        <w:rPr>
          <w:sz w:val="22"/>
          <w:szCs w:val="22"/>
        </w:rPr>
        <w:softHyphen/>
        <w:t xml:space="preserve">wide transport model COMET.  The key findings from the Hertford and Ware evidence pack are outlined below. </w:t>
      </w:r>
    </w:p>
    <w:p w:rsidR="0051271F" w:rsidRPr="0051271F" w:rsidRDefault="0051271F" w:rsidP="0051271F">
      <w:pPr>
        <w:pStyle w:val="Pa0"/>
        <w:rPr>
          <w:sz w:val="22"/>
          <w:szCs w:val="22"/>
        </w:rPr>
      </w:pPr>
    </w:p>
    <w:p w:rsidR="00F1154E" w:rsidRPr="0051271F" w:rsidRDefault="00F1154E" w:rsidP="0051271F">
      <w:pPr>
        <w:pStyle w:val="Pa0"/>
        <w:rPr>
          <w:b/>
          <w:bCs/>
          <w:color w:val="000000"/>
        </w:rPr>
      </w:pPr>
      <w:r w:rsidRPr="0051271F">
        <w:rPr>
          <w:b/>
          <w:bCs/>
          <w:color w:val="000000"/>
        </w:rPr>
        <w:t>Background</w:t>
      </w:r>
    </w:p>
    <w:p w:rsidR="009B7BA1" w:rsidRPr="0051271F" w:rsidRDefault="009B3AAF" w:rsidP="00F1154E">
      <w:pPr>
        <w:pStyle w:val="Pa0"/>
      </w:pPr>
      <w:r w:rsidRPr="0051271F">
        <w:rPr>
          <w:sz w:val="22"/>
          <w:szCs w:val="22"/>
        </w:rPr>
        <w:t xml:space="preserve">The towns of </w:t>
      </w:r>
      <w:r w:rsidR="009B7BA1" w:rsidRPr="0051271F">
        <w:rPr>
          <w:sz w:val="22"/>
          <w:szCs w:val="22"/>
        </w:rPr>
        <w:t>Hertford and Ware are situated in the East of Hertfordshire County. These two areas are being analysed in conjunction with o</w:t>
      </w:r>
      <w:r w:rsidRPr="0051271F">
        <w:rPr>
          <w:sz w:val="22"/>
          <w:szCs w:val="22"/>
        </w:rPr>
        <w:t>ne another due to their</w:t>
      </w:r>
      <w:r w:rsidR="009B7BA1" w:rsidRPr="0051271F">
        <w:rPr>
          <w:sz w:val="22"/>
          <w:szCs w:val="22"/>
        </w:rPr>
        <w:t xml:space="preserve"> </w:t>
      </w:r>
      <w:r w:rsidR="00E3773A" w:rsidRPr="0051271F">
        <w:rPr>
          <w:sz w:val="22"/>
          <w:szCs w:val="22"/>
        </w:rPr>
        <w:t xml:space="preserve">close </w:t>
      </w:r>
      <w:r w:rsidR="009B7BA1" w:rsidRPr="0051271F">
        <w:rPr>
          <w:sz w:val="22"/>
          <w:szCs w:val="22"/>
        </w:rPr>
        <w:t>proximity.</w:t>
      </w:r>
    </w:p>
    <w:p w:rsidR="009B7BA1" w:rsidRPr="0051271F" w:rsidRDefault="009B7BA1">
      <w:pPr>
        <w:rPr>
          <w:rFonts w:ascii="Arial" w:hAnsi="Arial" w:cs="Arial"/>
        </w:rPr>
      </w:pPr>
      <w:r w:rsidRPr="0051271F">
        <w:rPr>
          <w:rFonts w:ascii="Arial" w:hAnsi="Arial" w:cs="Arial"/>
        </w:rPr>
        <w:t xml:space="preserve">The study area is located over 30 miles north of Central London and within the A10/M11 growth Corridor. Herford is the 13th largest built up area within Hertfordshire, with a population of 27,900. In contrast, Ware is the 16th largest built up area </w:t>
      </w:r>
      <w:r w:rsidR="00FC6447" w:rsidRPr="0051271F">
        <w:rPr>
          <w:rFonts w:ascii="Arial" w:hAnsi="Arial" w:cs="Arial"/>
        </w:rPr>
        <w:t xml:space="preserve">in Hertfordshire </w:t>
      </w:r>
      <w:r w:rsidR="00E223AA" w:rsidRPr="0051271F">
        <w:rPr>
          <w:rFonts w:ascii="Arial" w:hAnsi="Arial" w:cs="Arial"/>
        </w:rPr>
        <w:t xml:space="preserve">with </w:t>
      </w:r>
      <w:r w:rsidR="009B3AAF" w:rsidRPr="0051271F">
        <w:rPr>
          <w:rFonts w:ascii="Arial" w:hAnsi="Arial" w:cs="Arial"/>
        </w:rPr>
        <w:t>a population of 19,900.</w:t>
      </w:r>
    </w:p>
    <w:p w:rsidR="003171E6" w:rsidRPr="0051271F" w:rsidRDefault="003171E6" w:rsidP="0051271F">
      <w:pPr>
        <w:pStyle w:val="Pa0"/>
        <w:rPr>
          <w:b/>
          <w:bCs/>
          <w:color w:val="000000"/>
        </w:rPr>
      </w:pPr>
      <w:r w:rsidRPr="0051271F">
        <w:rPr>
          <w:b/>
          <w:bCs/>
          <w:color w:val="000000"/>
        </w:rPr>
        <w:t>Community Characteristics</w:t>
      </w:r>
    </w:p>
    <w:p w:rsidR="0067273E" w:rsidRPr="0051271F" w:rsidRDefault="00D57C6E" w:rsidP="00D33444">
      <w:pPr>
        <w:rPr>
          <w:rFonts w:ascii="Arial" w:hAnsi="Arial" w:cs="Arial"/>
        </w:rPr>
      </w:pPr>
      <w:r w:rsidRPr="0051271F">
        <w:rPr>
          <w:rFonts w:ascii="Arial" w:hAnsi="Arial" w:cs="Arial"/>
        </w:rPr>
        <w:t xml:space="preserve">The study area of </w:t>
      </w:r>
      <w:r w:rsidR="0067273E" w:rsidRPr="0051271F">
        <w:rPr>
          <w:rFonts w:ascii="Arial" w:hAnsi="Arial" w:cs="Arial"/>
        </w:rPr>
        <w:t xml:space="preserve">Hertford and Ware </w:t>
      </w:r>
      <w:r w:rsidR="003074D7" w:rsidRPr="0051271F">
        <w:rPr>
          <w:rFonts w:ascii="Arial" w:hAnsi="Arial" w:cs="Arial"/>
        </w:rPr>
        <w:t>ha</w:t>
      </w:r>
      <w:r w:rsidRPr="0051271F">
        <w:rPr>
          <w:rFonts w:ascii="Arial" w:hAnsi="Arial" w:cs="Arial"/>
        </w:rPr>
        <w:t>s</w:t>
      </w:r>
      <w:r w:rsidR="003074D7" w:rsidRPr="0051271F">
        <w:rPr>
          <w:rFonts w:ascii="Arial" w:hAnsi="Arial" w:cs="Arial"/>
        </w:rPr>
        <w:t xml:space="preserve"> a number of identified employment centres and is </w:t>
      </w:r>
      <w:r w:rsidR="0067273E" w:rsidRPr="0051271F">
        <w:rPr>
          <w:rFonts w:ascii="Arial" w:hAnsi="Arial" w:cs="Arial"/>
        </w:rPr>
        <w:t>serviced by five state secondary schools</w:t>
      </w:r>
      <w:r w:rsidR="003074D7" w:rsidRPr="0051271F">
        <w:rPr>
          <w:rFonts w:ascii="Arial" w:hAnsi="Arial" w:cs="Arial"/>
        </w:rPr>
        <w:t xml:space="preserve"> </w:t>
      </w:r>
      <w:r w:rsidR="00CA3016" w:rsidRPr="0051271F">
        <w:rPr>
          <w:rFonts w:ascii="Arial" w:hAnsi="Arial" w:cs="Arial"/>
        </w:rPr>
        <w:t>a college</w:t>
      </w:r>
      <w:r w:rsidR="00184FE6" w:rsidRPr="0051271F">
        <w:rPr>
          <w:rFonts w:ascii="Arial" w:hAnsi="Arial" w:cs="Arial"/>
        </w:rPr>
        <w:t xml:space="preserve"> </w:t>
      </w:r>
      <w:r w:rsidR="003074D7" w:rsidRPr="0051271F">
        <w:rPr>
          <w:rFonts w:ascii="Arial" w:hAnsi="Arial" w:cs="Arial"/>
        </w:rPr>
        <w:t xml:space="preserve">and </w:t>
      </w:r>
      <w:r w:rsidR="00CA3016" w:rsidRPr="0051271F">
        <w:rPr>
          <w:rFonts w:ascii="Arial" w:hAnsi="Arial" w:cs="Arial"/>
        </w:rPr>
        <w:t xml:space="preserve">two </w:t>
      </w:r>
      <w:r w:rsidR="00184FE6" w:rsidRPr="0051271F">
        <w:rPr>
          <w:rFonts w:ascii="Arial" w:hAnsi="Arial" w:cs="Arial"/>
        </w:rPr>
        <w:t xml:space="preserve">special educational needs </w:t>
      </w:r>
      <w:r w:rsidR="00CA3016" w:rsidRPr="0051271F">
        <w:rPr>
          <w:rFonts w:ascii="Arial" w:hAnsi="Arial" w:cs="Arial"/>
        </w:rPr>
        <w:t>schools. There are in excess of 4,500 pupils attending secondary schools within the study area</w:t>
      </w:r>
      <w:r w:rsidR="001211FD" w:rsidRPr="0051271F">
        <w:rPr>
          <w:rFonts w:ascii="Arial" w:hAnsi="Arial" w:cs="Arial"/>
        </w:rPr>
        <w:t xml:space="preserve"> with </w:t>
      </w:r>
      <w:r w:rsidR="00CA3016" w:rsidRPr="0051271F">
        <w:rPr>
          <w:rFonts w:ascii="Arial" w:hAnsi="Arial" w:cs="Arial"/>
        </w:rPr>
        <w:t>1,800</w:t>
      </w:r>
      <w:r w:rsidR="00792AF8" w:rsidRPr="0051271F">
        <w:rPr>
          <w:rFonts w:ascii="Arial" w:hAnsi="Arial" w:cs="Arial"/>
        </w:rPr>
        <w:t xml:space="preserve"> </w:t>
      </w:r>
      <w:r w:rsidR="001211FD" w:rsidRPr="0051271F">
        <w:rPr>
          <w:rFonts w:ascii="Arial" w:hAnsi="Arial" w:cs="Arial"/>
        </w:rPr>
        <w:t>of these</w:t>
      </w:r>
      <w:r w:rsidR="00740E30" w:rsidRPr="0051271F">
        <w:rPr>
          <w:rFonts w:ascii="Arial" w:hAnsi="Arial" w:cs="Arial"/>
        </w:rPr>
        <w:t xml:space="preserve"> </w:t>
      </w:r>
      <w:r w:rsidR="0066096A" w:rsidRPr="0051271F">
        <w:rPr>
          <w:rFonts w:ascii="Arial" w:hAnsi="Arial" w:cs="Arial"/>
        </w:rPr>
        <w:t xml:space="preserve">pupils </w:t>
      </w:r>
      <w:r w:rsidR="00740E30" w:rsidRPr="0051271F">
        <w:rPr>
          <w:rFonts w:ascii="Arial" w:hAnsi="Arial" w:cs="Arial"/>
        </w:rPr>
        <w:t>travel</w:t>
      </w:r>
      <w:r w:rsidR="001211FD" w:rsidRPr="0051271F">
        <w:rPr>
          <w:rFonts w:ascii="Arial" w:hAnsi="Arial" w:cs="Arial"/>
        </w:rPr>
        <w:t>ling</w:t>
      </w:r>
      <w:r w:rsidR="00740E30" w:rsidRPr="0051271F">
        <w:rPr>
          <w:rFonts w:ascii="Arial" w:hAnsi="Arial" w:cs="Arial"/>
        </w:rPr>
        <w:t xml:space="preserve"> into the study area </w:t>
      </w:r>
      <w:r w:rsidR="00792AF8" w:rsidRPr="0051271F">
        <w:rPr>
          <w:rFonts w:ascii="Arial" w:hAnsi="Arial" w:cs="Arial"/>
        </w:rPr>
        <w:t>from outside.</w:t>
      </w:r>
      <w:r w:rsidR="0009310E" w:rsidRPr="0051271F">
        <w:rPr>
          <w:rFonts w:ascii="Arial" w:hAnsi="Arial" w:cs="Arial"/>
        </w:rPr>
        <w:t xml:space="preserve"> There are also a high number of cross study area trips between Hertford and Ware</w:t>
      </w:r>
      <w:r w:rsidR="006336E5" w:rsidRPr="0051271F">
        <w:rPr>
          <w:rFonts w:ascii="Arial" w:hAnsi="Arial" w:cs="Arial"/>
        </w:rPr>
        <w:t xml:space="preserve"> particularly between t</w:t>
      </w:r>
      <w:r w:rsidR="0009310E" w:rsidRPr="0051271F">
        <w:rPr>
          <w:rFonts w:ascii="Arial" w:hAnsi="Arial" w:cs="Arial"/>
        </w:rPr>
        <w:t>he two single sex schools.</w:t>
      </w:r>
    </w:p>
    <w:p w:rsidR="0080500F" w:rsidRPr="0051271F" w:rsidRDefault="00184FE6" w:rsidP="00D33444">
      <w:pPr>
        <w:rPr>
          <w:rFonts w:ascii="Arial" w:hAnsi="Arial" w:cs="Arial"/>
        </w:rPr>
      </w:pPr>
      <w:r w:rsidRPr="0051271F">
        <w:rPr>
          <w:rFonts w:ascii="Arial" w:hAnsi="Arial" w:cs="Arial"/>
        </w:rPr>
        <w:t xml:space="preserve">There </w:t>
      </w:r>
      <w:r w:rsidR="00327034" w:rsidRPr="0051271F">
        <w:rPr>
          <w:rFonts w:ascii="Arial" w:hAnsi="Arial" w:cs="Arial"/>
        </w:rPr>
        <w:t>are a number of health</w:t>
      </w:r>
      <w:r w:rsidRPr="0051271F">
        <w:rPr>
          <w:rFonts w:ascii="Arial" w:hAnsi="Arial" w:cs="Arial"/>
        </w:rPr>
        <w:t xml:space="preserve">, sport and recreation </w:t>
      </w:r>
      <w:r w:rsidR="00792AF8" w:rsidRPr="0051271F">
        <w:rPr>
          <w:rFonts w:ascii="Arial" w:hAnsi="Arial" w:cs="Arial"/>
        </w:rPr>
        <w:t xml:space="preserve">facilities </w:t>
      </w:r>
      <w:r w:rsidRPr="0051271F">
        <w:rPr>
          <w:rFonts w:ascii="Arial" w:hAnsi="Arial" w:cs="Arial"/>
        </w:rPr>
        <w:t xml:space="preserve">within the study area that are mainly concentrated around the centres of Hertford and Ware. </w:t>
      </w:r>
      <w:r w:rsidR="00A25C2D" w:rsidRPr="0051271F">
        <w:rPr>
          <w:rFonts w:ascii="Arial" w:hAnsi="Arial" w:cs="Arial"/>
        </w:rPr>
        <w:t xml:space="preserve">Most </w:t>
      </w:r>
      <w:r w:rsidR="0053011D" w:rsidRPr="0051271F">
        <w:rPr>
          <w:rFonts w:ascii="Arial" w:hAnsi="Arial" w:cs="Arial"/>
        </w:rPr>
        <w:t>r</w:t>
      </w:r>
      <w:r w:rsidR="009E4D51" w:rsidRPr="0051271F">
        <w:rPr>
          <w:rFonts w:ascii="Arial" w:hAnsi="Arial" w:cs="Arial"/>
        </w:rPr>
        <w:t>etail facilities are distri</w:t>
      </w:r>
      <w:r w:rsidR="005314D5" w:rsidRPr="0051271F">
        <w:rPr>
          <w:rFonts w:ascii="Arial" w:hAnsi="Arial" w:cs="Arial"/>
        </w:rPr>
        <w:t>buted centrally</w:t>
      </w:r>
      <w:r w:rsidR="00A25C2D" w:rsidRPr="0051271F">
        <w:rPr>
          <w:rFonts w:ascii="Arial" w:hAnsi="Arial" w:cs="Arial"/>
        </w:rPr>
        <w:t xml:space="preserve"> around the study area with two</w:t>
      </w:r>
      <w:r w:rsidR="005314D5" w:rsidRPr="0051271F">
        <w:rPr>
          <w:rFonts w:ascii="Arial" w:hAnsi="Arial" w:cs="Arial"/>
        </w:rPr>
        <w:t xml:space="preserve"> supermarket</w:t>
      </w:r>
      <w:r w:rsidR="00A25C2D" w:rsidRPr="0051271F">
        <w:rPr>
          <w:rFonts w:ascii="Arial" w:hAnsi="Arial" w:cs="Arial"/>
        </w:rPr>
        <w:t>s on the edge of</w:t>
      </w:r>
      <w:r w:rsidR="00BE15F7" w:rsidRPr="0051271F">
        <w:rPr>
          <w:rFonts w:ascii="Arial" w:hAnsi="Arial" w:cs="Arial"/>
        </w:rPr>
        <w:t xml:space="preserve"> the</w:t>
      </w:r>
      <w:r w:rsidR="00A25C2D" w:rsidRPr="0051271F">
        <w:rPr>
          <w:rFonts w:ascii="Arial" w:hAnsi="Arial" w:cs="Arial"/>
        </w:rPr>
        <w:t xml:space="preserve"> town</w:t>
      </w:r>
      <w:r w:rsidR="00BE15F7" w:rsidRPr="0051271F">
        <w:rPr>
          <w:rFonts w:ascii="Arial" w:hAnsi="Arial" w:cs="Arial"/>
        </w:rPr>
        <w:t xml:space="preserve"> centre</w:t>
      </w:r>
      <w:r w:rsidR="00630953" w:rsidRPr="0051271F">
        <w:rPr>
          <w:rFonts w:ascii="Arial" w:hAnsi="Arial" w:cs="Arial"/>
        </w:rPr>
        <w:t>s</w:t>
      </w:r>
      <w:r w:rsidR="00A25C2D" w:rsidRPr="0051271F">
        <w:rPr>
          <w:rFonts w:ascii="Arial" w:hAnsi="Arial" w:cs="Arial"/>
        </w:rPr>
        <w:t>.</w:t>
      </w:r>
    </w:p>
    <w:p w:rsidR="0067212C" w:rsidRPr="0051271F" w:rsidRDefault="0080500F" w:rsidP="00D33444">
      <w:pPr>
        <w:rPr>
          <w:rFonts w:ascii="Arial" w:hAnsi="Arial" w:cs="Arial"/>
        </w:rPr>
      </w:pPr>
      <w:r w:rsidRPr="0051271F">
        <w:rPr>
          <w:rFonts w:ascii="Arial" w:hAnsi="Arial" w:cs="Arial"/>
        </w:rPr>
        <w:t>The average age within the study area are similar to the England Average (39-42 years)</w:t>
      </w:r>
      <w:r w:rsidR="0067212C" w:rsidRPr="0051271F">
        <w:rPr>
          <w:rFonts w:ascii="Arial" w:hAnsi="Arial" w:cs="Arial"/>
        </w:rPr>
        <w:t xml:space="preserve">, </w:t>
      </w:r>
      <w:r w:rsidRPr="0051271F">
        <w:rPr>
          <w:rFonts w:ascii="Arial" w:hAnsi="Arial" w:cs="Arial"/>
        </w:rPr>
        <w:t>apart the southern areas of Hertford which is</w:t>
      </w:r>
      <w:r w:rsidR="00A20106" w:rsidRPr="0051271F">
        <w:rPr>
          <w:rFonts w:ascii="Arial" w:hAnsi="Arial" w:cs="Arial"/>
        </w:rPr>
        <w:t xml:space="preserve"> marginally </w:t>
      </w:r>
      <w:r w:rsidRPr="0051271F">
        <w:rPr>
          <w:rFonts w:ascii="Arial" w:hAnsi="Arial" w:cs="Arial"/>
        </w:rPr>
        <w:t xml:space="preserve">lower. Male life expectancy is generally high, apart from the eastern sides of Ware and Hertford. </w:t>
      </w:r>
      <w:r w:rsidR="001A1B6E" w:rsidRPr="0051271F">
        <w:rPr>
          <w:rFonts w:ascii="Arial" w:hAnsi="Arial" w:cs="Arial"/>
        </w:rPr>
        <w:t>Female life expectancy shows a different picture; Hertford is above the England average, whilst Ware as a whole is well below the national average.</w:t>
      </w:r>
    </w:p>
    <w:p w:rsidR="00716D1F" w:rsidRPr="0051271F" w:rsidRDefault="001A1B6E" w:rsidP="00D33444">
      <w:pPr>
        <w:rPr>
          <w:rFonts w:ascii="Arial" w:hAnsi="Arial" w:cs="Arial"/>
        </w:rPr>
      </w:pPr>
      <w:r w:rsidRPr="0051271F">
        <w:rPr>
          <w:rFonts w:ascii="Arial" w:hAnsi="Arial" w:cs="Arial"/>
        </w:rPr>
        <w:t>Overall the study area is generally a</w:t>
      </w:r>
      <w:r w:rsidR="0038536D" w:rsidRPr="0051271F">
        <w:rPr>
          <w:rFonts w:ascii="Arial" w:hAnsi="Arial" w:cs="Arial"/>
        </w:rPr>
        <w:t xml:space="preserve">ffluent, with low unemployment and little deprivation. However there are two pockets </w:t>
      </w:r>
      <w:r w:rsidR="004934CF" w:rsidRPr="0051271F">
        <w:rPr>
          <w:rFonts w:ascii="Arial" w:hAnsi="Arial" w:cs="Arial"/>
        </w:rPr>
        <w:t xml:space="preserve">of </w:t>
      </w:r>
      <w:r w:rsidR="0038536D" w:rsidRPr="0051271F">
        <w:rPr>
          <w:rFonts w:ascii="Arial" w:hAnsi="Arial" w:cs="Arial"/>
        </w:rPr>
        <w:t>depriv</w:t>
      </w:r>
      <w:r w:rsidR="004934CF" w:rsidRPr="0051271F">
        <w:rPr>
          <w:rFonts w:ascii="Arial" w:hAnsi="Arial" w:cs="Arial"/>
        </w:rPr>
        <w:t>ation</w:t>
      </w:r>
      <w:r w:rsidR="0038536D" w:rsidRPr="0051271F">
        <w:rPr>
          <w:rFonts w:ascii="Arial" w:hAnsi="Arial" w:cs="Arial"/>
        </w:rPr>
        <w:t xml:space="preserve"> around </w:t>
      </w:r>
      <w:proofErr w:type="spellStart"/>
      <w:r w:rsidR="007F2EA8" w:rsidRPr="0051271F">
        <w:rPr>
          <w:rFonts w:ascii="Arial" w:hAnsi="Arial" w:cs="Arial"/>
        </w:rPr>
        <w:t>Sele</w:t>
      </w:r>
      <w:proofErr w:type="spellEnd"/>
      <w:r w:rsidR="007F2EA8" w:rsidRPr="0051271F">
        <w:rPr>
          <w:rFonts w:ascii="Arial" w:hAnsi="Arial" w:cs="Arial"/>
        </w:rPr>
        <w:t xml:space="preserve"> Farm and </w:t>
      </w:r>
      <w:proofErr w:type="spellStart"/>
      <w:r w:rsidR="007F2EA8" w:rsidRPr="0051271F">
        <w:rPr>
          <w:rFonts w:ascii="Arial" w:hAnsi="Arial" w:cs="Arial"/>
        </w:rPr>
        <w:t>Hornsmill</w:t>
      </w:r>
      <w:proofErr w:type="spellEnd"/>
      <w:r w:rsidR="0038536D" w:rsidRPr="0051271F">
        <w:rPr>
          <w:rFonts w:ascii="Arial" w:hAnsi="Arial" w:cs="Arial"/>
        </w:rPr>
        <w:t xml:space="preserve"> in </w:t>
      </w:r>
      <w:r w:rsidR="007F2EA8" w:rsidRPr="0051271F">
        <w:rPr>
          <w:rFonts w:ascii="Arial" w:hAnsi="Arial" w:cs="Arial"/>
        </w:rPr>
        <w:t>Hertford.</w:t>
      </w:r>
      <w:r w:rsidR="00E054B7" w:rsidRPr="0051271F">
        <w:rPr>
          <w:rFonts w:ascii="Arial" w:hAnsi="Arial" w:cs="Arial"/>
        </w:rPr>
        <w:t xml:space="preserve"> </w:t>
      </w:r>
      <w:r w:rsidR="00072934" w:rsidRPr="0051271F">
        <w:rPr>
          <w:rFonts w:ascii="Arial" w:hAnsi="Arial" w:cs="Arial"/>
        </w:rPr>
        <w:t xml:space="preserve">Health in Hertford and Ware is good with low levels of obesity and a high proportion of healthy eating adults. </w:t>
      </w:r>
      <w:r w:rsidR="00716D1F" w:rsidRPr="0051271F">
        <w:rPr>
          <w:rFonts w:ascii="Arial" w:hAnsi="Arial" w:cs="Arial"/>
        </w:rPr>
        <w:t>There is one declared Air Quality Management Area (AQMA), within the study area. This is located on the A414 in Hertford</w:t>
      </w:r>
      <w:r w:rsidR="003D5A79" w:rsidRPr="0051271F">
        <w:rPr>
          <w:rFonts w:ascii="Arial" w:hAnsi="Arial" w:cs="Arial"/>
        </w:rPr>
        <w:t>.</w:t>
      </w:r>
    </w:p>
    <w:p w:rsidR="003171E6" w:rsidRPr="0051271F" w:rsidRDefault="003171E6" w:rsidP="0051271F">
      <w:pPr>
        <w:pStyle w:val="Pa0"/>
        <w:rPr>
          <w:b/>
          <w:bCs/>
          <w:color w:val="000000"/>
        </w:rPr>
      </w:pPr>
      <w:r w:rsidRPr="0051271F">
        <w:rPr>
          <w:b/>
          <w:bCs/>
          <w:color w:val="000000"/>
        </w:rPr>
        <w:t>Economic Portrait</w:t>
      </w:r>
    </w:p>
    <w:p w:rsidR="0094332E" w:rsidRPr="0051271F" w:rsidRDefault="001F2E6C" w:rsidP="00151CF0">
      <w:pPr>
        <w:rPr>
          <w:rFonts w:ascii="Arial" w:hAnsi="Arial" w:cs="Arial"/>
        </w:rPr>
      </w:pPr>
      <w:r w:rsidRPr="0051271F">
        <w:rPr>
          <w:rFonts w:ascii="Arial" w:hAnsi="Arial" w:cs="Arial"/>
        </w:rPr>
        <w:t>East Herts has approximately 114,000 inhabitants and around 73,000 jobs. The key employment sectors identified in the region are Professional Services, Wholesale and Retail, Construction and Business Services; with Professional Services being the largest employer</w:t>
      </w:r>
      <w:r w:rsidR="0094332E" w:rsidRPr="0051271F">
        <w:rPr>
          <w:rFonts w:ascii="Arial" w:hAnsi="Arial" w:cs="Arial"/>
        </w:rPr>
        <w:t xml:space="preserve"> and significantly higher than the national average</w:t>
      </w:r>
      <w:r w:rsidRPr="0051271F">
        <w:rPr>
          <w:rFonts w:ascii="Arial" w:hAnsi="Arial" w:cs="Arial"/>
        </w:rPr>
        <w:t>.</w:t>
      </w:r>
      <w:r w:rsidR="00AE0B38" w:rsidRPr="0051271F">
        <w:rPr>
          <w:rFonts w:ascii="Arial" w:hAnsi="Arial" w:cs="Arial"/>
        </w:rPr>
        <w:t xml:space="preserve"> </w:t>
      </w:r>
      <w:r w:rsidR="0056258F" w:rsidRPr="0051271F">
        <w:rPr>
          <w:rFonts w:ascii="Arial" w:hAnsi="Arial" w:cs="Arial"/>
        </w:rPr>
        <w:t>The majority of large employers are in the Hertford area with a number clustered around the Foxholes business area. Hertfordshire County Council themselves are based in Hertford and employ 1,500 people.</w:t>
      </w:r>
    </w:p>
    <w:p w:rsidR="003171E6" w:rsidRPr="0051271F" w:rsidRDefault="003171E6" w:rsidP="0051271F">
      <w:pPr>
        <w:pStyle w:val="Pa0"/>
        <w:rPr>
          <w:b/>
          <w:bCs/>
          <w:color w:val="000000"/>
        </w:rPr>
      </w:pPr>
      <w:r w:rsidRPr="0051271F">
        <w:rPr>
          <w:b/>
          <w:bCs/>
          <w:color w:val="000000"/>
        </w:rPr>
        <w:lastRenderedPageBreak/>
        <w:t>Transport Network</w:t>
      </w:r>
    </w:p>
    <w:p w:rsidR="00BD07EE" w:rsidRPr="0051271F" w:rsidRDefault="001E4688" w:rsidP="00190153">
      <w:pPr>
        <w:rPr>
          <w:rFonts w:ascii="Arial" w:hAnsi="Arial" w:cs="Arial"/>
        </w:rPr>
      </w:pPr>
      <w:r w:rsidRPr="0051271F">
        <w:rPr>
          <w:rFonts w:ascii="Arial" w:hAnsi="Arial" w:cs="Arial"/>
        </w:rPr>
        <w:t>The study area is served by Primary</w:t>
      </w:r>
      <w:r w:rsidR="00517858" w:rsidRPr="0051271F">
        <w:rPr>
          <w:rFonts w:ascii="Arial" w:hAnsi="Arial" w:cs="Arial"/>
        </w:rPr>
        <w:t xml:space="preserve">, </w:t>
      </w:r>
      <w:r w:rsidR="000E57DE" w:rsidRPr="0051271F">
        <w:rPr>
          <w:rFonts w:ascii="Arial" w:hAnsi="Arial" w:cs="Arial"/>
        </w:rPr>
        <w:t>Main and a small number of</w:t>
      </w:r>
      <w:r w:rsidRPr="0051271F">
        <w:rPr>
          <w:rFonts w:ascii="Arial" w:hAnsi="Arial" w:cs="Arial"/>
        </w:rPr>
        <w:t xml:space="preserve"> Secondary Distribut</w:t>
      </w:r>
      <w:r w:rsidR="00240D9D" w:rsidRPr="0051271F">
        <w:rPr>
          <w:rFonts w:ascii="Arial" w:hAnsi="Arial" w:cs="Arial"/>
        </w:rPr>
        <w:t>or</w:t>
      </w:r>
      <w:r w:rsidR="00517858" w:rsidRPr="0051271F">
        <w:rPr>
          <w:rFonts w:ascii="Arial" w:hAnsi="Arial" w:cs="Arial"/>
        </w:rPr>
        <w:t xml:space="preserve"> roads</w:t>
      </w:r>
      <w:r w:rsidR="00240D9D" w:rsidRPr="0051271F">
        <w:rPr>
          <w:rFonts w:ascii="Arial" w:hAnsi="Arial" w:cs="Arial"/>
        </w:rPr>
        <w:t xml:space="preserve">. </w:t>
      </w:r>
      <w:r w:rsidR="00190153" w:rsidRPr="0051271F">
        <w:rPr>
          <w:rFonts w:ascii="Arial" w:hAnsi="Arial" w:cs="Arial"/>
        </w:rPr>
        <w:t>There are no motorways within the study area.</w:t>
      </w:r>
      <w:r w:rsidRPr="0051271F">
        <w:rPr>
          <w:rFonts w:ascii="Arial" w:hAnsi="Arial" w:cs="Arial"/>
        </w:rPr>
        <w:t xml:space="preserve"> </w:t>
      </w:r>
      <w:r w:rsidR="009622C1" w:rsidRPr="0051271F">
        <w:rPr>
          <w:rFonts w:ascii="Arial" w:hAnsi="Arial" w:cs="Arial"/>
        </w:rPr>
        <w:t xml:space="preserve">The two </w:t>
      </w:r>
      <w:proofErr w:type="gramStart"/>
      <w:r w:rsidR="009622C1" w:rsidRPr="0051271F">
        <w:rPr>
          <w:rFonts w:ascii="Arial" w:hAnsi="Arial" w:cs="Arial"/>
        </w:rPr>
        <w:t>P</w:t>
      </w:r>
      <w:r w:rsidR="00E416A9" w:rsidRPr="0051271F">
        <w:rPr>
          <w:rFonts w:ascii="Arial" w:hAnsi="Arial" w:cs="Arial"/>
        </w:rPr>
        <w:t>rimary</w:t>
      </w:r>
      <w:proofErr w:type="gramEnd"/>
      <w:r w:rsidR="00E416A9" w:rsidRPr="0051271F">
        <w:rPr>
          <w:rFonts w:ascii="Arial" w:hAnsi="Arial" w:cs="Arial"/>
        </w:rPr>
        <w:t xml:space="preserve"> A roads are the A10 which runs north to south and the A414 which runs east to west. </w:t>
      </w:r>
      <w:r w:rsidR="00240D9D" w:rsidRPr="0051271F">
        <w:rPr>
          <w:rFonts w:ascii="Arial" w:hAnsi="Arial" w:cs="Arial"/>
        </w:rPr>
        <w:t>The A1170</w:t>
      </w:r>
      <w:r w:rsidR="00E416A9" w:rsidRPr="0051271F">
        <w:rPr>
          <w:rFonts w:ascii="Arial" w:hAnsi="Arial" w:cs="Arial"/>
        </w:rPr>
        <w:t xml:space="preserve"> </w:t>
      </w:r>
      <w:r w:rsidR="004C111A" w:rsidRPr="0051271F">
        <w:rPr>
          <w:rFonts w:ascii="Arial" w:hAnsi="Arial" w:cs="Arial"/>
        </w:rPr>
        <w:t xml:space="preserve">provides a connection between Ware and the A10, A414 and Hoddesdon. </w:t>
      </w:r>
      <w:r w:rsidR="00BD07EE" w:rsidRPr="0051271F">
        <w:rPr>
          <w:rFonts w:ascii="Arial" w:hAnsi="Arial" w:cs="Arial"/>
        </w:rPr>
        <w:t>T</w:t>
      </w:r>
      <w:r w:rsidR="00E416A9" w:rsidRPr="0051271F">
        <w:rPr>
          <w:rFonts w:ascii="Arial" w:hAnsi="Arial" w:cs="Arial"/>
        </w:rPr>
        <w:t xml:space="preserve">he A119 </w:t>
      </w:r>
      <w:r w:rsidR="00BD07EE" w:rsidRPr="0051271F">
        <w:rPr>
          <w:rFonts w:ascii="Arial" w:hAnsi="Arial" w:cs="Arial"/>
        </w:rPr>
        <w:t>joins Hertford to the A602 to the north and Hertford and Ware. B roads provide connections to surrounding villages.</w:t>
      </w:r>
    </w:p>
    <w:p w:rsidR="005D455C" w:rsidRPr="0051271F" w:rsidRDefault="00BD07EE" w:rsidP="00190153">
      <w:pPr>
        <w:rPr>
          <w:rFonts w:ascii="Arial" w:hAnsi="Arial" w:cs="Arial"/>
        </w:rPr>
      </w:pPr>
      <w:r w:rsidRPr="0051271F">
        <w:rPr>
          <w:rFonts w:ascii="Arial" w:hAnsi="Arial" w:cs="Arial"/>
        </w:rPr>
        <w:t>The</w:t>
      </w:r>
      <w:r w:rsidR="005704C2" w:rsidRPr="0051271F">
        <w:rPr>
          <w:rFonts w:ascii="Arial" w:hAnsi="Arial" w:cs="Arial"/>
        </w:rPr>
        <w:t>re are three train stations within the study area. The</w:t>
      </w:r>
      <w:r w:rsidRPr="0051271F">
        <w:rPr>
          <w:rFonts w:ascii="Arial" w:hAnsi="Arial" w:cs="Arial"/>
        </w:rPr>
        <w:t xml:space="preserve"> Great </w:t>
      </w:r>
      <w:r w:rsidR="004F2E4A" w:rsidRPr="0051271F">
        <w:rPr>
          <w:rFonts w:ascii="Arial" w:hAnsi="Arial" w:cs="Arial"/>
        </w:rPr>
        <w:t xml:space="preserve">Anglia Line serves Hertford East and </w:t>
      </w:r>
      <w:r w:rsidRPr="0051271F">
        <w:rPr>
          <w:rFonts w:ascii="Arial" w:hAnsi="Arial" w:cs="Arial"/>
        </w:rPr>
        <w:t>Ware</w:t>
      </w:r>
      <w:r w:rsidR="004F2E4A" w:rsidRPr="0051271F">
        <w:rPr>
          <w:rFonts w:ascii="Arial" w:hAnsi="Arial" w:cs="Arial"/>
        </w:rPr>
        <w:t xml:space="preserve"> Stations,</w:t>
      </w:r>
      <w:r w:rsidRPr="0051271F">
        <w:rPr>
          <w:rFonts w:ascii="Arial" w:hAnsi="Arial" w:cs="Arial"/>
        </w:rPr>
        <w:t xml:space="preserve"> </w:t>
      </w:r>
      <w:r w:rsidR="004F2E4A" w:rsidRPr="0051271F">
        <w:rPr>
          <w:rFonts w:ascii="Arial" w:hAnsi="Arial" w:cs="Arial"/>
        </w:rPr>
        <w:t>whilst the Great Northern line travels from Hertford North Station. These lines provide direct rail links to London</w:t>
      </w:r>
      <w:r w:rsidR="005E2759" w:rsidRPr="0051271F">
        <w:rPr>
          <w:rFonts w:ascii="Arial" w:hAnsi="Arial" w:cs="Arial"/>
        </w:rPr>
        <w:t xml:space="preserve">, </w:t>
      </w:r>
      <w:r w:rsidR="009B3AAF" w:rsidRPr="0051271F">
        <w:rPr>
          <w:rFonts w:ascii="Arial" w:hAnsi="Arial" w:cs="Arial"/>
        </w:rPr>
        <w:t xml:space="preserve">Cambridge </w:t>
      </w:r>
      <w:r w:rsidR="005E2759" w:rsidRPr="0051271F">
        <w:rPr>
          <w:rFonts w:ascii="Arial" w:hAnsi="Arial" w:cs="Arial"/>
        </w:rPr>
        <w:t>and</w:t>
      </w:r>
      <w:r w:rsidR="009B3AAF" w:rsidRPr="0051271F">
        <w:rPr>
          <w:rFonts w:ascii="Arial" w:hAnsi="Arial" w:cs="Arial"/>
        </w:rPr>
        <w:t xml:space="preserve"> Stanstead</w:t>
      </w:r>
      <w:r w:rsidR="005D455C" w:rsidRPr="0051271F">
        <w:rPr>
          <w:rFonts w:ascii="Arial" w:hAnsi="Arial" w:cs="Arial"/>
        </w:rPr>
        <w:t>.</w:t>
      </w:r>
    </w:p>
    <w:p w:rsidR="002D0FCD" w:rsidRPr="0051271F" w:rsidRDefault="002D0FCD" w:rsidP="00190153">
      <w:pPr>
        <w:rPr>
          <w:rFonts w:ascii="Arial" w:hAnsi="Arial" w:cs="Arial"/>
        </w:rPr>
      </w:pPr>
      <w:r w:rsidRPr="0051271F">
        <w:rPr>
          <w:rFonts w:ascii="Arial" w:hAnsi="Arial" w:cs="Arial"/>
        </w:rPr>
        <w:t xml:space="preserve">Bus providers in the area service routes between Hoddesdon, and the Lee Valley, Harlow and Bishop’s Stortford in the east and Welwyn Garden City, Hatfield </w:t>
      </w:r>
      <w:r w:rsidR="004F2E4A" w:rsidRPr="0051271F">
        <w:rPr>
          <w:rFonts w:ascii="Arial" w:hAnsi="Arial" w:cs="Arial"/>
        </w:rPr>
        <w:t xml:space="preserve">and St Albans in the west. </w:t>
      </w:r>
    </w:p>
    <w:p w:rsidR="004F2E4A" w:rsidRPr="0051271F" w:rsidRDefault="00EF2E9C" w:rsidP="00190153">
      <w:pPr>
        <w:rPr>
          <w:rFonts w:ascii="Arial" w:hAnsi="Arial" w:cs="Arial"/>
        </w:rPr>
      </w:pPr>
      <w:r w:rsidRPr="0051271F">
        <w:rPr>
          <w:rFonts w:ascii="Arial" w:hAnsi="Arial" w:cs="Arial"/>
        </w:rPr>
        <w:t>There are a number of cycle routes in the study area. The National Cycle Network route Number 61 passes through the area connecting Welwyn Garden City to the west (via the Cole Green Way) to the Lee Valley in the east (via the River Lee Towpath)</w:t>
      </w:r>
      <w:r w:rsidR="00956824" w:rsidRPr="0051271F">
        <w:rPr>
          <w:rFonts w:ascii="Arial" w:hAnsi="Arial" w:cs="Arial"/>
        </w:rPr>
        <w:t>.</w:t>
      </w:r>
    </w:p>
    <w:p w:rsidR="003171E6" w:rsidRPr="0051271F" w:rsidRDefault="003171E6" w:rsidP="0051271F">
      <w:pPr>
        <w:pStyle w:val="Pa0"/>
        <w:rPr>
          <w:b/>
          <w:bCs/>
          <w:color w:val="000000"/>
        </w:rPr>
      </w:pPr>
      <w:r w:rsidRPr="0051271F">
        <w:rPr>
          <w:b/>
          <w:bCs/>
          <w:color w:val="000000"/>
        </w:rPr>
        <w:t>Network Analysis</w:t>
      </w:r>
    </w:p>
    <w:p w:rsidR="00094E69" w:rsidRPr="0051271F" w:rsidRDefault="00094E69" w:rsidP="000E57DE">
      <w:pPr>
        <w:rPr>
          <w:rFonts w:ascii="Arial" w:hAnsi="Arial" w:cs="Arial"/>
        </w:rPr>
      </w:pPr>
      <w:r w:rsidRPr="0051271F">
        <w:rPr>
          <w:rFonts w:ascii="Arial" w:hAnsi="Arial" w:cs="Arial"/>
        </w:rPr>
        <w:t xml:space="preserve">Hertford and Ware has a balanced commuting profile </w:t>
      </w:r>
      <w:r w:rsidR="00E75E30" w:rsidRPr="0051271F">
        <w:rPr>
          <w:rFonts w:ascii="Arial" w:hAnsi="Arial" w:cs="Arial"/>
        </w:rPr>
        <w:t xml:space="preserve">showing </w:t>
      </w:r>
      <w:r w:rsidRPr="0051271F">
        <w:rPr>
          <w:rFonts w:ascii="Arial" w:hAnsi="Arial" w:cs="Arial"/>
        </w:rPr>
        <w:t>similar levels of inbound (3</w:t>
      </w:r>
      <w:r w:rsidR="0029086D" w:rsidRPr="0051271F">
        <w:rPr>
          <w:rFonts w:ascii="Arial" w:hAnsi="Arial" w:cs="Arial"/>
        </w:rPr>
        <w:t>5</w:t>
      </w:r>
      <w:r w:rsidR="00E75E30" w:rsidRPr="0051271F">
        <w:rPr>
          <w:rFonts w:ascii="Arial" w:hAnsi="Arial" w:cs="Arial"/>
        </w:rPr>
        <w:t xml:space="preserve">%) </w:t>
      </w:r>
      <w:r w:rsidR="00907F10" w:rsidRPr="0051271F">
        <w:rPr>
          <w:rFonts w:ascii="Arial" w:hAnsi="Arial" w:cs="Arial"/>
        </w:rPr>
        <w:t>and outbound</w:t>
      </w:r>
      <w:r w:rsidR="00E75E30" w:rsidRPr="0051271F">
        <w:rPr>
          <w:rFonts w:ascii="Arial" w:hAnsi="Arial" w:cs="Arial"/>
        </w:rPr>
        <w:t xml:space="preserve"> journeys (36%)</w:t>
      </w:r>
      <w:r w:rsidR="00BA4D34" w:rsidRPr="0051271F">
        <w:rPr>
          <w:rFonts w:ascii="Arial" w:hAnsi="Arial" w:cs="Arial"/>
        </w:rPr>
        <w:t>. I</w:t>
      </w:r>
      <w:r w:rsidR="00E75E30" w:rsidRPr="0051271F">
        <w:rPr>
          <w:rFonts w:ascii="Arial" w:hAnsi="Arial" w:cs="Arial"/>
        </w:rPr>
        <w:t>nternal</w:t>
      </w:r>
      <w:r w:rsidR="00907F10" w:rsidRPr="0051271F">
        <w:rPr>
          <w:rFonts w:ascii="Arial" w:hAnsi="Arial" w:cs="Arial"/>
        </w:rPr>
        <w:t xml:space="preserve"> (17%)</w:t>
      </w:r>
      <w:r w:rsidR="00E75E30" w:rsidRPr="0051271F">
        <w:rPr>
          <w:rFonts w:ascii="Arial" w:hAnsi="Arial" w:cs="Arial"/>
        </w:rPr>
        <w:t xml:space="preserve">, working from home </w:t>
      </w:r>
      <w:r w:rsidR="00907F10" w:rsidRPr="0051271F">
        <w:rPr>
          <w:rFonts w:ascii="Arial" w:hAnsi="Arial" w:cs="Arial"/>
        </w:rPr>
        <w:t xml:space="preserve">(6%) </w:t>
      </w:r>
      <w:r w:rsidR="00E75E30" w:rsidRPr="0051271F">
        <w:rPr>
          <w:rFonts w:ascii="Arial" w:hAnsi="Arial" w:cs="Arial"/>
        </w:rPr>
        <w:t>and other</w:t>
      </w:r>
      <w:r w:rsidR="00A71870" w:rsidRPr="0051271F">
        <w:rPr>
          <w:rFonts w:ascii="Arial" w:hAnsi="Arial" w:cs="Arial"/>
        </w:rPr>
        <w:t xml:space="preserve"> </w:t>
      </w:r>
      <w:r w:rsidR="00907F10" w:rsidRPr="0051271F">
        <w:rPr>
          <w:rFonts w:ascii="Arial" w:hAnsi="Arial" w:cs="Arial"/>
        </w:rPr>
        <w:t xml:space="preserve">(6%) </w:t>
      </w:r>
      <w:r w:rsidR="00E75E30" w:rsidRPr="0051271F">
        <w:rPr>
          <w:rFonts w:ascii="Arial" w:hAnsi="Arial" w:cs="Arial"/>
        </w:rPr>
        <w:t>mak</w:t>
      </w:r>
      <w:r w:rsidR="00907F10" w:rsidRPr="0051271F">
        <w:rPr>
          <w:rFonts w:ascii="Arial" w:hAnsi="Arial" w:cs="Arial"/>
        </w:rPr>
        <w:t>e up the remainder</w:t>
      </w:r>
      <w:r w:rsidR="00BA4D34" w:rsidRPr="0051271F">
        <w:rPr>
          <w:rFonts w:ascii="Arial" w:hAnsi="Arial" w:cs="Arial"/>
        </w:rPr>
        <w:t xml:space="preserve"> of the journeys.</w:t>
      </w:r>
    </w:p>
    <w:p w:rsidR="00C12BAE" w:rsidRPr="0051271F" w:rsidRDefault="000E57DE" w:rsidP="000E57DE">
      <w:pPr>
        <w:rPr>
          <w:rFonts w:ascii="Arial" w:hAnsi="Arial" w:cs="Arial"/>
        </w:rPr>
      </w:pPr>
      <w:r w:rsidRPr="0051271F">
        <w:rPr>
          <w:rFonts w:ascii="Arial" w:hAnsi="Arial" w:cs="Arial"/>
        </w:rPr>
        <w:t xml:space="preserve">Inbound trips to Hertford and Ware mainly originate from within Hertfordshire </w:t>
      </w:r>
      <w:r w:rsidR="00C12BAE" w:rsidRPr="0051271F">
        <w:rPr>
          <w:rFonts w:ascii="Arial" w:hAnsi="Arial" w:cs="Arial"/>
        </w:rPr>
        <w:t>(70%)</w:t>
      </w:r>
      <w:r w:rsidR="00C94D71" w:rsidRPr="0051271F">
        <w:rPr>
          <w:rFonts w:ascii="Arial" w:hAnsi="Arial" w:cs="Arial"/>
        </w:rPr>
        <w:t xml:space="preserve">, particularly from </w:t>
      </w:r>
      <w:r w:rsidRPr="0051271F">
        <w:rPr>
          <w:rFonts w:ascii="Arial" w:hAnsi="Arial" w:cs="Arial"/>
        </w:rPr>
        <w:t>East Hertfordshire and Broxbourne</w:t>
      </w:r>
      <w:r w:rsidR="00C94D71" w:rsidRPr="0051271F">
        <w:rPr>
          <w:rFonts w:ascii="Arial" w:hAnsi="Arial" w:cs="Arial"/>
        </w:rPr>
        <w:t>, although</w:t>
      </w:r>
      <w:r w:rsidR="008F51F7" w:rsidRPr="0051271F">
        <w:rPr>
          <w:rFonts w:ascii="Arial" w:hAnsi="Arial" w:cs="Arial"/>
        </w:rPr>
        <w:t xml:space="preserve"> </w:t>
      </w:r>
      <w:r w:rsidR="006D0D94" w:rsidRPr="0051271F">
        <w:rPr>
          <w:rFonts w:ascii="Arial" w:hAnsi="Arial" w:cs="Arial"/>
        </w:rPr>
        <w:t xml:space="preserve">there are significant proportions of trips coming from </w:t>
      </w:r>
      <w:r w:rsidR="00C12BAE" w:rsidRPr="0051271F">
        <w:rPr>
          <w:rFonts w:ascii="Arial" w:hAnsi="Arial" w:cs="Arial"/>
        </w:rPr>
        <w:t>Essex and Greater London.</w:t>
      </w:r>
      <w:r w:rsidR="0057427A" w:rsidRPr="0051271F">
        <w:rPr>
          <w:rFonts w:ascii="Arial" w:hAnsi="Arial" w:cs="Arial"/>
        </w:rPr>
        <w:t xml:space="preserve"> </w:t>
      </w:r>
      <w:r w:rsidR="00C12BAE" w:rsidRPr="0051271F">
        <w:rPr>
          <w:rFonts w:ascii="Arial" w:hAnsi="Arial" w:cs="Arial"/>
        </w:rPr>
        <w:t>The vast majority of inbound trips are made via Private Car (84%)</w:t>
      </w:r>
      <w:r w:rsidR="00B14C37" w:rsidRPr="0051271F">
        <w:rPr>
          <w:rFonts w:ascii="Arial" w:hAnsi="Arial" w:cs="Arial"/>
        </w:rPr>
        <w:t xml:space="preserve"> with only</w:t>
      </w:r>
      <w:r w:rsidR="007E7AFA" w:rsidRPr="0051271F">
        <w:rPr>
          <w:rFonts w:ascii="Arial" w:hAnsi="Arial" w:cs="Arial"/>
        </w:rPr>
        <w:t xml:space="preserve"> 11% of trips made using sustainable modes of transport.</w:t>
      </w:r>
    </w:p>
    <w:p w:rsidR="00745C6D" w:rsidRPr="0051271F" w:rsidRDefault="00721A71" w:rsidP="000E57DE">
      <w:pPr>
        <w:rPr>
          <w:rFonts w:ascii="Arial" w:hAnsi="Arial" w:cs="Arial"/>
        </w:rPr>
      </w:pPr>
      <w:r w:rsidRPr="0051271F">
        <w:rPr>
          <w:rFonts w:ascii="Arial" w:hAnsi="Arial" w:cs="Arial"/>
        </w:rPr>
        <w:t>Most o</w:t>
      </w:r>
      <w:r w:rsidR="00745C6D" w:rsidRPr="0051271F">
        <w:rPr>
          <w:rFonts w:ascii="Arial" w:hAnsi="Arial" w:cs="Arial"/>
        </w:rPr>
        <w:t xml:space="preserve">utbound </w:t>
      </w:r>
      <w:r w:rsidRPr="0051271F">
        <w:rPr>
          <w:rFonts w:ascii="Arial" w:hAnsi="Arial" w:cs="Arial"/>
        </w:rPr>
        <w:t xml:space="preserve">commuting </w:t>
      </w:r>
      <w:r w:rsidR="00745C6D" w:rsidRPr="0051271F">
        <w:rPr>
          <w:rFonts w:ascii="Arial" w:hAnsi="Arial" w:cs="Arial"/>
        </w:rPr>
        <w:t>trips</w:t>
      </w:r>
      <w:r w:rsidRPr="0051271F">
        <w:rPr>
          <w:rFonts w:ascii="Arial" w:hAnsi="Arial" w:cs="Arial"/>
        </w:rPr>
        <w:t xml:space="preserve"> </w:t>
      </w:r>
      <w:r w:rsidR="000D5D33" w:rsidRPr="0051271F">
        <w:rPr>
          <w:rFonts w:ascii="Arial" w:hAnsi="Arial" w:cs="Arial"/>
        </w:rPr>
        <w:t>travel to Broxbourne District, Welwyn Garden City, the City of London, Westminster, Enfield, Harlow and Stevenage.</w:t>
      </w:r>
      <w:r w:rsidR="00FF5212" w:rsidRPr="0051271F">
        <w:rPr>
          <w:rFonts w:ascii="Arial" w:hAnsi="Arial" w:cs="Arial"/>
        </w:rPr>
        <w:t xml:space="preserve"> A lower percentage of outbound trips are made by private car than inbound trips however this still accounts for 67% of journeys. 24% of trips are made by rail which reflects the high number of trips made into the City.</w:t>
      </w:r>
    </w:p>
    <w:p w:rsidR="00FF7441" w:rsidRPr="0051271F" w:rsidRDefault="00DD54B1" w:rsidP="000E57DE">
      <w:pPr>
        <w:rPr>
          <w:rFonts w:ascii="Arial" w:hAnsi="Arial" w:cs="Arial"/>
        </w:rPr>
      </w:pPr>
      <w:r w:rsidRPr="0051271F">
        <w:rPr>
          <w:rFonts w:ascii="Arial" w:hAnsi="Arial" w:cs="Arial"/>
        </w:rPr>
        <w:t>Almos</w:t>
      </w:r>
      <w:r w:rsidR="0012038F" w:rsidRPr="0051271F">
        <w:rPr>
          <w:rFonts w:ascii="Arial" w:hAnsi="Arial" w:cs="Arial"/>
        </w:rPr>
        <w:t>t half of all internal trips are mad</w:t>
      </w:r>
      <w:r w:rsidR="004C0AAD" w:rsidRPr="0051271F">
        <w:rPr>
          <w:rFonts w:ascii="Arial" w:hAnsi="Arial" w:cs="Arial"/>
        </w:rPr>
        <w:t>e using a private vehicle (49%)</w:t>
      </w:r>
      <w:r w:rsidRPr="0051271F">
        <w:rPr>
          <w:rFonts w:ascii="Arial" w:hAnsi="Arial" w:cs="Arial"/>
        </w:rPr>
        <w:t>, with trips made on</w:t>
      </w:r>
      <w:r w:rsidR="004C0AAD" w:rsidRPr="0051271F">
        <w:rPr>
          <w:rFonts w:ascii="Arial" w:hAnsi="Arial" w:cs="Arial"/>
        </w:rPr>
        <w:t xml:space="preserve"> foot </w:t>
      </w:r>
      <w:r w:rsidR="00A60062" w:rsidRPr="0051271F">
        <w:rPr>
          <w:rFonts w:ascii="Arial" w:hAnsi="Arial" w:cs="Arial"/>
        </w:rPr>
        <w:t xml:space="preserve">accounting for </w:t>
      </w:r>
      <w:r w:rsidR="004C0AAD" w:rsidRPr="0051271F">
        <w:rPr>
          <w:rFonts w:ascii="Arial" w:hAnsi="Arial" w:cs="Arial"/>
        </w:rPr>
        <w:t>36%</w:t>
      </w:r>
      <w:r w:rsidRPr="0051271F">
        <w:rPr>
          <w:rFonts w:ascii="Arial" w:hAnsi="Arial" w:cs="Arial"/>
        </w:rPr>
        <w:t xml:space="preserve"> of the share. </w:t>
      </w:r>
      <w:r w:rsidR="001F2F1A" w:rsidRPr="0051271F">
        <w:rPr>
          <w:rFonts w:ascii="Arial" w:hAnsi="Arial" w:cs="Arial"/>
        </w:rPr>
        <w:t>B</w:t>
      </w:r>
      <w:r w:rsidRPr="0051271F">
        <w:rPr>
          <w:rFonts w:ascii="Arial" w:hAnsi="Arial" w:cs="Arial"/>
        </w:rPr>
        <w:t>us</w:t>
      </w:r>
      <w:r w:rsidR="001F2F1A" w:rsidRPr="0051271F">
        <w:rPr>
          <w:rFonts w:ascii="Arial" w:hAnsi="Arial" w:cs="Arial"/>
        </w:rPr>
        <w:t xml:space="preserve"> and cycle</w:t>
      </w:r>
      <w:r w:rsidRPr="0051271F">
        <w:rPr>
          <w:rFonts w:ascii="Arial" w:hAnsi="Arial" w:cs="Arial"/>
        </w:rPr>
        <w:t xml:space="preserve"> trips both account for </w:t>
      </w:r>
      <w:r w:rsidR="00A60062" w:rsidRPr="0051271F">
        <w:rPr>
          <w:rFonts w:ascii="Arial" w:hAnsi="Arial" w:cs="Arial"/>
        </w:rPr>
        <w:t>4%</w:t>
      </w:r>
      <w:r w:rsidR="0045133B" w:rsidRPr="0051271F">
        <w:rPr>
          <w:rFonts w:ascii="Arial" w:hAnsi="Arial" w:cs="Arial"/>
        </w:rPr>
        <w:t xml:space="preserve"> of the mode share</w:t>
      </w:r>
      <w:r w:rsidR="00F07523" w:rsidRPr="0051271F">
        <w:rPr>
          <w:rFonts w:ascii="Arial" w:hAnsi="Arial" w:cs="Arial"/>
        </w:rPr>
        <w:t>,</w:t>
      </w:r>
      <w:r w:rsidR="0045133B" w:rsidRPr="0051271F">
        <w:rPr>
          <w:rFonts w:ascii="Arial" w:hAnsi="Arial" w:cs="Arial"/>
        </w:rPr>
        <w:t xml:space="preserve"> which is low</w:t>
      </w:r>
      <w:r w:rsidR="001F2F1A" w:rsidRPr="0051271F">
        <w:rPr>
          <w:rFonts w:ascii="Arial" w:hAnsi="Arial" w:cs="Arial"/>
        </w:rPr>
        <w:t xml:space="preserve"> </w:t>
      </w:r>
      <w:r w:rsidR="0045133B" w:rsidRPr="0051271F">
        <w:rPr>
          <w:rFonts w:ascii="Arial" w:hAnsi="Arial" w:cs="Arial"/>
        </w:rPr>
        <w:t xml:space="preserve">considering </w:t>
      </w:r>
      <w:r w:rsidR="001F2F1A" w:rsidRPr="0051271F">
        <w:rPr>
          <w:rFonts w:ascii="Arial" w:hAnsi="Arial" w:cs="Arial"/>
        </w:rPr>
        <w:t xml:space="preserve">cyclists can reach anywhere within the study area </w:t>
      </w:r>
      <w:r w:rsidR="0045133B" w:rsidRPr="0051271F">
        <w:rPr>
          <w:rFonts w:ascii="Arial" w:hAnsi="Arial" w:cs="Arial"/>
        </w:rPr>
        <w:t xml:space="preserve">in less than </w:t>
      </w:r>
      <w:r w:rsidR="001F2F1A" w:rsidRPr="0051271F">
        <w:rPr>
          <w:rFonts w:ascii="Arial" w:hAnsi="Arial" w:cs="Arial"/>
        </w:rPr>
        <w:t>30 minutes.</w:t>
      </w:r>
    </w:p>
    <w:p w:rsidR="00566D49" w:rsidRPr="0051271F" w:rsidRDefault="00566D49" w:rsidP="00566D49">
      <w:pPr>
        <w:rPr>
          <w:rFonts w:ascii="Arial" w:hAnsi="Arial" w:cs="Arial"/>
        </w:rPr>
      </w:pPr>
      <w:r w:rsidRPr="0051271F">
        <w:rPr>
          <w:rFonts w:ascii="Arial" w:hAnsi="Arial" w:cs="Arial"/>
        </w:rPr>
        <w:t xml:space="preserve">Cycle rates in Hertford and Ware are currently around 2-3% which is very low when compared to other urban areas in Hertfordshire. The implementation of schemes such as the </w:t>
      </w:r>
      <w:proofErr w:type="spellStart"/>
      <w:r w:rsidRPr="0051271F">
        <w:rPr>
          <w:rFonts w:ascii="Arial" w:hAnsi="Arial" w:cs="Arial"/>
        </w:rPr>
        <w:t>GoDutch</w:t>
      </w:r>
      <w:proofErr w:type="spellEnd"/>
      <w:r w:rsidRPr="0051271F">
        <w:rPr>
          <w:rFonts w:ascii="Arial" w:hAnsi="Arial" w:cs="Arial"/>
        </w:rPr>
        <w:t xml:space="preserve"> Scenario and/or </w:t>
      </w:r>
      <w:proofErr w:type="spellStart"/>
      <w:r w:rsidRPr="0051271F">
        <w:rPr>
          <w:rFonts w:ascii="Arial" w:hAnsi="Arial" w:cs="Arial"/>
        </w:rPr>
        <w:t>Ebikes</w:t>
      </w:r>
      <w:proofErr w:type="spellEnd"/>
      <w:r w:rsidRPr="0051271F">
        <w:rPr>
          <w:rFonts w:ascii="Arial" w:hAnsi="Arial" w:cs="Arial"/>
        </w:rPr>
        <w:t xml:space="preserve"> has the potential to increase this figure to between 15%-20%.</w:t>
      </w:r>
    </w:p>
    <w:p w:rsidR="00566D49" w:rsidRPr="0051271F" w:rsidRDefault="00B118FF" w:rsidP="000E57DE">
      <w:pPr>
        <w:rPr>
          <w:rFonts w:ascii="Arial" w:hAnsi="Arial" w:cs="Arial"/>
        </w:rPr>
      </w:pPr>
      <w:r w:rsidRPr="0051271F">
        <w:rPr>
          <w:rFonts w:ascii="Arial" w:hAnsi="Arial" w:cs="Arial"/>
        </w:rPr>
        <w:t>B</w:t>
      </w:r>
      <w:r w:rsidR="001364CC" w:rsidRPr="0051271F">
        <w:rPr>
          <w:rFonts w:ascii="Arial" w:hAnsi="Arial" w:cs="Arial"/>
        </w:rPr>
        <w:t xml:space="preserve">us services within the study area provide good links to Hoddesdon and Broxbourne; inter urban </w:t>
      </w:r>
      <w:r w:rsidR="00DA265B" w:rsidRPr="0051271F">
        <w:rPr>
          <w:rFonts w:ascii="Arial" w:hAnsi="Arial" w:cs="Arial"/>
        </w:rPr>
        <w:t>connections to destinations such as Welwyn Garden City and Hatfield to the west and Harlow to the east are less frequent.</w:t>
      </w:r>
      <w:r w:rsidR="008E2089" w:rsidRPr="0051271F">
        <w:rPr>
          <w:rFonts w:ascii="Arial" w:hAnsi="Arial" w:cs="Arial"/>
        </w:rPr>
        <w:t xml:space="preserve"> F</w:t>
      </w:r>
      <w:r w:rsidR="00DA265B" w:rsidRPr="0051271F">
        <w:rPr>
          <w:rFonts w:ascii="Arial" w:hAnsi="Arial" w:cs="Arial"/>
        </w:rPr>
        <w:t>requency of bus services may contribute to the low number of trips made</w:t>
      </w:r>
      <w:r w:rsidR="00566D49" w:rsidRPr="0051271F">
        <w:rPr>
          <w:rFonts w:ascii="Arial" w:hAnsi="Arial" w:cs="Arial"/>
        </w:rPr>
        <w:t>.</w:t>
      </w:r>
    </w:p>
    <w:p w:rsidR="00FF5212" w:rsidRPr="0051271F" w:rsidRDefault="002F66AF" w:rsidP="000E57DE">
      <w:pPr>
        <w:rPr>
          <w:rFonts w:ascii="Arial" w:hAnsi="Arial" w:cs="Arial"/>
        </w:rPr>
      </w:pPr>
      <w:r w:rsidRPr="0051271F">
        <w:rPr>
          <w:rFonts w:ascii="Arial" w:hAnsi="Arial" w:cs="Arial"/>
        </w:rPr>
        <w:lastRenderedPageBreak/>
        <w:t xml:space="preserve">There are a number of congestion hotspots within </w:t>
      </w:r>
      <w:r w:rsidR="00627299" w:rsidRPr="0051271F">
        <w:rPr>
          <w:rFonts w:ascii="Arial" w:hAnsi="Arial" w:cs="Arial"/>
        </w:rPr>
        <w:t xml:space="preserve">Hertford and Ware. </w:t>
      </w:r>
      <w:r w:rsidRPr="0051271F">
        <w:rPr>
          <w:rFonts w:ascii="Arial" w:hAnsi="Arial" w:cs="Arial"/>
        </w:rPr>
        <w:t xml:space="preserve">The most notable being </w:t>
      </w:r>
      <w:r w:rsidR="00627299" w:rsidRPr="0051271F">
        <w:rPr>
          <w:rFonts w:ascii="Arial" w:hAnsi="Arial" w:cs="Arial"/>
        </w:rPr>
        <w:t>where roads are intersecting with the A414</w:t>
      </w:r>
      <w:r w:rsidRPr="0051271F">
        <w:rPr>
          <w:rFonts w:ascii="Arial" w:hAnsi="Arial" w:cs="Arial"/>
        </w:rPr>
        <w:t xml:space="preserve"> in both Hertford and Ware</w:t>
      </w:r>
      <w:r w:rsidR="00E631C0" w:rsidRPr="0051271F">
        <w:rPr>
          <w:rFonts w:ascii="Arial" w:hAnsi="Arial" w:cs="Arial"/>
        </w:rPr>
        <w:t xml:space="preserve">. A review of school pupil movements highlights that the A414 and the A119 have the potential to be the most utilised routes to schools. This aligns with analysis of these routes which has identified </w:t>
      </w:r>
      <w:r w:rsidR="00E84E78" w:rsidRPr="0051271F">
        <w:rPr>
          <w:rFonts w:ascii="Arial" w:hAnsi="Arial" w:cs="Arial"/>
        </w:rPr>
        <w:t xml:space="preserve">congestion </w:t>
      </w:r>
      <w:r w:rsidR="00E631C0" w:rsidRPr="0051271F">
        <w:rPr>
          <w:rFonts w:ascii="Arial" w:hAnsi="Arial" w:cs="Arial"/>
        </w:rPr>
        <w:t>hotspots.</w:t>
      </w:r>
    </w:p>
    <w:p w:rsidR="003171E6" w:rsidRPr="0051271F" w:rsidRDefault="003171E6" w:rsidP="0051271F">
      <w:pPr>
        <w:pStyle w:val="Pa0"/>
        <w:rPr>
          <w:b/>
          <w:bCs/>
          <w:color w:val="000000"/>
        </w:rPr>
      </w:pPr>
      <w:r w:rsidRPr="0051271F">
        <w:rPr>
          <w:b/>
          <w:bCs/>
          <w:color w:val="000000"/>
        </w:rPr>
        <w:t>Future Transport</w:t>
      </w:r>
    </w:p>
    <w:p w:rsidR="001C1CFE" w:rsidRPr="0051271F" w:rsidRDefault="001C1CFE" w:rsidP="001C1CFE">
      <w:pPr>
        <w:rPr>
          <w:rFonts w:ascii="Arial" w:hAnsi="Arial" w:cs="Arial"/>
          <w:color w:val="000000"/>
        </w:rPr>
      </w:pPr>
      <w:r w:rsidRPr="0051271F">
        <w:rPr>
          <w:rFonts w:ascii="Arial" w:hAnsi="Arial" w:cs="Arial"/>
          <w:color w:val="000000"/>
        </w:rPr>
        <w:t>East Herts is set to experience a 17% growth in population over the next 15 years and a 14% growth in employment with the main growth seen in the Business Services, Professional Services, Accommodation &amp; Food Services and Construction sectors.</w:t>
      </w:r>
    </w:p>
    <w:p w:rsidR="001C1CFE" w:rsidRPr="0051271F" w:rsidRDefault="001C1CFE" w:rsidP="001C1CFE">
      <w:pPr>
        <w:rPr>
          <w:rFonts w:ascii="Arial" w:hAnsi="Arial" w:cs="Arial"/>
          <w:color w:val="000000"/>
        </w:rPr>
      </w:pPr>
      <w:r w:rsidRPr="0051271F">
        <w:rPr>
          <w:rFonts w:ascii="Arial" w:hAnsi="Arial" w:cs="Arial"/>
          <w:color w:val="000000"/>
        </w:rPr>
        <w:t xml:space="preserve">Developments are planned in the vicinity of the study area; the largest of which is Land North and East of Ware which has an allocation for 1,000 dwellings with a limited proportion of employment. Proposed development in the Gilson and Harlow area may also have an effect on the study area. </w:t>
      </w:r>
    </w:p>
    <w:p w:rsidR="00D846BB" w:rsidRPr="0051271F" w:rsidRDefault="00D846BB" w:rsidP="001C1CFE">
      <w:pPr>
        <w:rPr>
          <w:rFonts w:ascii="Arial" w:hAnsi="Arial" w:cs="Arial"/>
        </w:rPr>
      </w:pPr>
      <w:r w:rsidRPr="0051271F">
        <w:rPr>
          <w:rFonts w:ascii="Arial" w:hAnsi="Arial" w:cs="Arial"/>
          <w:color w:val="000000"/>
        </w:rPr>
        <w:t xml:space="preserve">By the year 2031 </w:t>
      </w:r>
      <w:r w:rsidR="00F407B1" w:rsidRPr="0051271F">
        <w:rPr>
          <w:rFonts w:ascii="Arial" w:hAnsi="Arial" w:cs="Arial"/>
          <w:color w:val="000000"/>
        </w:rPr>
        <w:t xml:space="preserve">average </w:t>
      </w:r>
      <w:r w:rsidRPr="0051271F">
        <w:rPr>
          <w:rFonts w:ascii="Arial" w:hAnsi="Arial" w:cs="Arial"/>
          <w:color w:val="000000"/>
        </w:rPr>
        <w:t xml:space="preserve">journey times </w:t>
      </w:r>
      <w:r w:rsidR="00F407B1" w:rsidRPr="0051271F">
        <w:rPr>
          <w:rFonts w:ascii="Arial" w:hAnsi="Arial" w:cs="Arial"/>
          <w:color w:val="000000"/>
        </w:rPr>
        <w:t xml:space="preserve">from the Hertford and Ware study area to key destinations </w:t>
      </w:r>
      <w:r w:rsidRPr="0051271F">
        <w:rPr>
          <w:rFonts w:ascii="Arial" w:hAnsi="Arial" w:cs="Arial"/>
          <w:color w:val="000000"/>
        </w:rPr>
        <w:t>are expected to increase in both</w:t>
      </w:r>
      <w:r w:rsidR="00F407B1" w:rsidRPr="0051271F">
        <w:rPr>
          <w:rFonts w:ascii="Arial" w:hAnsi="Arial" w:cs="Arial"/>
          <w:color w:val="000000"/>
        </w:rPr>
        <w:t xml:space="preserve"> the morning and evening peaks.</w:t>
      </w:r>
    </w:p>
    <w:sectPr w:rsidR="00D846BB" w:rsidRPr="00512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C7"/>
    <w:rsid w:val="00016A4E"/>
    <w:rsid w:val="00072934"/>
    <w:rsid w:val="0009310E"/>
    <w:rsid w:val="00094E69"/>
    <w:rsid w:val="000D5D33"/>
    <w:rsid w:val="000E57DE"/>
    <w:rsid w:val="0012038F"/>
    <w:rsid w:val="001211FD"/>
    <w:rsid w:val="001364CC"/>
    <w:rsid w:val="00151CF0"/>
    <w:rsid w:val="00184FE6"/>
    <w:rsid w:val="00190153"/>
    <w:rsid w:val="001A1B6E"/>
    <w:rsid w:val="001C1CFE"/>
    <w:rsid w:val="001E4688"/>
    <w:rsid w:val="001F2E6C"/>
    <w:rsid w:val="001F2F1A"/>
    <w:rsid w:val="00240D9D"/>
    <w:rsid w:val="00263054"/>
    <w:rsid w:val="00281B42"/>
    <w:rsid w:val="0029086D"/>
    <w:rsid w:val="002B404B"/>
    <w:rsid w:val="002D0FCD"/>
    <w:rsid w:val="002F66AF"/>
    <w:rsid w:val="003074D7"/>
    <w:rsid w:val="003171E6"/>
    <w:rsid w:val="00327034"/>
    <w:rsid w:val="0038536D"/>
    <w:rsid w:val="00385B0C"/>
    <w:rsid w:val="003D5A79"/>
    <w:rsid w:val="00426F42"/>
    <w:rsid w:val="00437811"/>
    <w:rsid w:val="0045133B"/>
    <w:rsid w:val="004934CF"/>
    <w:rsid w:val="004A0268"/>
    <w:rsid w:val="004C0AAD"/>
    <w:rsid w:val="004C111A"/>
    <w:rsid w:val="004C232B"/>
    <w:rsid w:val="004E0821"/>
    <w:rsid w:val="004E72EB"/>
    <w:rsid w:val="004F2E4A"/>
    <w:rsid w:val="0051271F"/>
    <w:rsid w:val="00517858"/>
    <w:rsid w:val="0053011D"/>
    <w:rsid w:val="005314D5"/>
    <w:rsid w:val="00556ABF"/>
    <w:rsid w:val="0056258F"/>
    <w:rsid w:val="00566D49"/>
    <w:rsid w:val="005704C2"/>
    <w:rsid w:val="00573099"/>
    <w:rsid w:val="0057427A"/>
    <w:rsid w:val="00575337"/>
    <w:rsid w:val="005B6B8B"/>
    <w:rsid w:val="005D455C"/>
    <w:rsid w:val="005E2759"/>
    <w:rsid w:val="00627299"/>
    <w:rsid w:val="00630953"/>
    <w:rsid w:val="006336E5"/>
    <w:rsid w:val="0063771A"/>
    <w:rsid w:val="0065454B"/>
    <w:rsid w:val="0066096A"/>
    <w:rsid w:val="0067212C"/>
    <w:rsid w:val="0067273E"/>
    <w:rsid w:val="00673DAD"/>
    <w:rsid w:val="006C7796"/>
    <w:rsid w:val="006D0D94"/>
    <w:rsid w:val="00716D1F"/>
    <w:rsid w:val="00721A71"/>
    <w:rsid w:val="00740E30"/>
    <w:rsid w:val="00745C6D"/>
    <w:rsid w:val="00746C15"/>
    <w:rsid w:val="00792AF8"/>
    <w:rsid w:val="007B584B"/>
    <w:rsid w:val="007E31C5"/>
    <w:rsid w:val="007E34DE"/>
    <w:rsid w:val="007E7AFA"/>
    <w:rsid w:val="007F2EA8"/>
    <w:rsid w:val="0080500F"/>
    <w:rsid w:val="00826441"/>
    <w:rsid w:val="00840072"/>
    <w:rsid w:val="008C3FC9"/>
    <w:rsid w:val="008E2089"/>
    <w:rsid w:val="008F51F7"/>
    <w:rsid w:val="00907F10"/>
    <w:rsid w:val="0094023D"/>
    <w:rsid w:val="0094332E"/>
    <w:rsid w:val="00956824"/>
    <w:rsid w:val="009622C1"/>
    <w:rsid w:val="00980A2E"/>
    <w:rsid w:val="009B3AAF"/>
    <w:rsid w:val="009B7BA1"/>
    <w:rsid w:val="009E4D51"/>
    <w:rsid w:val="00A20106"/>
    <w:rsid w:val="00A25C2D"/>
    <w:rsid w:val="00A60062"/>
    <w:rsid w:val="00A71870"/>
    <w:rsid w:val="00AE0B38"/>
    <w:rsid w:val="00AF1F04"/>
    <w:rsid w:val="00B10DF2"/>
    <w:rsid w:val="00B118FF"/>
    <w:rsid w:val="00B14C37"/>
    <w:rsid w:val="00BA4D34"/>
    <w:rsid w:val="00BD0510"/>
    <w:rsid w:val="00BD07EE"/>
    <w:rsid w:val="00BD2AAA"/>
    <w:rsid w:val="00BE15F7"/>
    <w:rsid w:val="00C12BAE"/>
    <w:rsid w:val="00C228A6"/>
    <w:rsid w:val="00C502C5"/>
    <w:rsid w:val="00C9017F"/>
    <w:rsid w:val="00C94D71"/>
    <w:rsid w:val="00CA3016"/>
    <w:rsid w:val="00CC5B05"/>
    <w:rsid w:val="00D02BD7"/>
    <w:rsid w:val="00D260C7"/>
    <w:rsid w:val="00D33444"/>
    <w:rsid w:val="00D57C6E"/>
    <w:rsid w:val="00D6072A"/>
    <w:rsid w:val="00D846BB"/>
    <w:rsid w:val="00D8767E"/>
    <w:rsid w:val="00DA265B"/>
    <w:rsid w:val="00DD54B1"/>
    <w:rsid w:val="00DF6AAF"/>
    <w:rsid w:val="00E00D22"/>
    <w:rsid w:val="00E054B7"/>
    <w:rsid w:val="00E223AA"/>
    <w:rsid w:val="00E3773A"/>
    <w:rsid w:val="00E416A9"/>
    <w:rsid w:val="00E631C0"/>
    <w:rsid w:val="00E64545"/>
    <w:rsid w:val="00E7399C"/>
    <w:rsid w:val="00E75E30"/>
    <w:rsid w:val="00E84E78"/>
    <w:rsid w:val="00E9717C"/>
    <w:rsid w:val="00EC37EC"/>
    <w:rsid w:val="00EF2E9C"/>
    <w:rsid w:val="00EF6311"/>
    <w:rsid w:val="00F07523"/>
    <w:rsid w:val="00F1154E"/>
    <w:rsid w:val="00F407B1"/>
    <w:rsid w:val="00F5217A"/>
    <w:rsid w:val="00F5386A"/>
    <w:rsid w:val="00FA614E"/>
    <w:rsid w:val="00FC6447"/>
    <w:rsid w:val="00FD3791"/>
    <w:rsid w:val="00FF5212"/>
    <w:rsid w:val="00FF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7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7B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BA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B7BA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7427A"/>
    <w:rPr>
      <w:sz w:val="16"/>
      <w:szCs w:val="16"/>
    </w:rPr>
  </w:style>
  <w:style w:type="paragraph" w:styleId="CommentText">
    <w:name w:val="annotation text"/>
    <w:basedOn w:val="Normal"/>
    <w:link w:val="CommentTextChar"/>
    <w:uiPriority w:val="99"/>
    <w:semiHidden/>
    <w:unhideWhenUsed/>
    <w:rsid w:val="0057427A"/>
    <w:pPr>
      <w:spacing w:line="240" w:lineRule="auto"/>
    </w:pPr>
    <w:rPr>
      <w:sz w:val="20"/>
      <w:szCs w:val="20"/>
    </w:rPr>
  </w:style>
  <w:style w:type="character" w:customStyle="1" w:styleId="CommentTextChar">
    <w:name w:val="Comment Text Char"/>
    <w:basedOn w:val="DefaultParagraphFont"/>
    <w:link w:val="CommentText"/>
    <w:uiPriority w:val="99"/>
    <w:semiHidden/>
    <w:rsid w:val="0057427A"/>
    <w:rPr>
      <w:sz w:val="20"/>
      <w:szCs w:val="20"/>
    </w:rPr>
  </w:style>
  <w:style w:type="paragraph" w:styleId="CommentSubject">
    <w:name w:val="annotation subject"/>
    <w:basedOn w:val="CommentText"/>
    <w:next w:val="CommentText"/>
    <w:link w:val="CommentSubjectChar"/>
    <w:uiPriority w:val="99"/>
    <w:semiHidden/>
    <w:unhideWhenUsed/>
    <w:rsid w:val="0057427A"/>
    <w:rPr>
      <w:b/>
      <w:bCs/>
    </w:rPr>
  </w:style>
  <w:style w:type="character" w:customStyle="1" w:styleId="CommentSubjectChar">
    <w:name w:val="Comment Subject Char"/>
    <w:basedOn w:val="CommentTextChar"/>
    <w:link w:val="CommentSubject"/>
    <w:uiPriority w:val="99"/>
    <w:semiHidden/>
    <w:rsid w:val="0057427A"/>
    <w:rPr>
      <w:b/>
      <w:bCs/>
      <w:sz w:val="20"/>
      <w:szCs w:val="20"/>
    </w:rPr>
  </w:style>
  <w:style w:type="paragraph" w:styleId="BalloonText">
    <w:name w:val="Balloon Text"/>
    <w:basedOn w:val="Normal"/>
    <w:link w:val="BalloonTextChar"/>
    <w:uiPriority w:val="99"/>
    <w:semiHidden/>
    <w:unhideWhenUsed/>
    <w:rsid w:val="0057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7A"/>
    <w:rPr>
      <w:rFonts w:ascii="Tahoma" w:hAnsi="Tahoma" w:cs="Tahoma"/>
      <w:sz w:val="16"/>
      <w:szCs w:val="16"/>
    </w:rPr>
  </w:style>
  <w:style w:type="paragraph" w:customStyle="1" w:styleId="Pa0">
    <w:name w:val="Pa0"/>
    <w:basedOn w:val="Normal"/>
    <w:next w:val="Normal"/>
    <w:uiPriority w:val="99"/>
    <w:rsid w:val="00F1154E"/>
    <w:pPr>
      <w:autoSpaceDE w:val="0"/>
      <w:autoSpaceDN w:val="0"/>
      <w:adjustRightInd w:val="0"/>
      <w:spacing w:after="0" w:line="221" w:lineRule="atLeast"/>
    </w:pPr>
    <w:rPr>
      <w:rFonts w:ascii="Arial" w:hAnsi="Arial" w:cs="Arial"/>
      <w:sz w:val="24"/>
      <w:szCs w:val="24"/>
    </w:rPr>
  </w:style>
  <w:style w:type="paragraph" w:customStyle="1" w:styleId="Pa2">
    <w:name w:val="Pa2"/>
    <w:basedOn w:val="Normal"/>
    <w:next w:val="Normal"/>
    <w:uiPriority w:val="99"/>
    <w:rsid w:val="0051271F"/>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51271F"/>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7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7B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7BA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B7BA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7427A"/>
    <w:rPr>
      <w:sz w:val="16"/>
      <w:szCs w:val="16"/>
    </w:rPr>
  </w:style>
  <w:style w:type="paragraph" w:styleId="CommentText">
    <w:name w:val="annotation text"/>
    <w:basedOn w:val="Normal"/>
    <w:link w:val="CommentTextChar"/>
    <w:uiPriority w:val="99"/>
    <w:semiHidden/>
    <w:unhideWhenUsed/>
    <w:rsid w:val="0057427A"/>
    <w:pPr>
      <w:spacing w:line="240" w:lineRule="auto"/>
    </w:pPr>
    <w:rPr>
      <w:sz w:val="20"/>
      <w:szCs w:val="20"/>
    </w:rPr>
  </w:style>
  <w:style w:type="character" w:customStyle="1" w:styleId="CommentTextChar">
    <w:name w:val="Comment Text Char"/>
    <w:basedOn w:val="DefaultParagraphFont"/>
    <w:link w:val="CommentText"/>
    <w:uiPriority w:val="99"/>
    <w:semiHidden/>
    <w:rsid w:val="0057427A"/>
    <w:rPr>
      <w:sz w:val="20"/>
      <w:szCs w:val="20"/>
    </w:rPr>
  </w:style>
  <w:style w:type="paragraph" w:styleId="CommentSubject">
    <w:name w:val="annotation subject"/>
    <w:basedOn w:val="CommentText"/>
    <w:next w:val="CommentText"/>
    <w:link w:val="CommentSubjectChar"/>
    <w:uiPriority w:val="99"/>
    <w:semiHidden/>
    <w:unhideWhenUsed/>
    <w:rsid w:val="0057427A"/>
    <w:rPr>
      <w:b/>
      <w:bCs/>
    </w:rPr>
  </w:style>
  <w:style w:type="character" w:customStyle="1" w:styleId="CommentSubjectChar">
    <w:name w:val="Comment Subject Char"/>
    <w:basedOn w:val="CommentTextChar"/>
    <w:link w:val="CommentSubject"/>
    <w:uiPriority w:val="99"/>
    <w:semiHidden/>
    <w:rsid w:val="0057427A"/>
    <w:rPr>
      <w:b/>
      <w:bCs/>
      <w:sz w:val="20"/>
      <w:szCs w:val="20"/>
    </w:rPr>
  </w:style>
  <w:style w:type="paragraph" w:styleId="BalloonText">
    <w:name w:val="Balloon Text"/>
    <w:basedOn w:val="Normal"/>
    <w:link w:val="BalloonTextChar"/>
    <w:uiPriority w:val="99"/>
    <w:semiHidden/>
    <w:unhideWhenUsed/>
    <w:rsid w:val="0057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7A"/>
    <w:rPr>
      <w:rFonts w:ascii="Tahoma" w:hAnsi="Tahoma" w:cs="Tahoma"/>
      <w:sz w:val="16"/>
      <w:szCs w:val="16"/>
    </w:rPr>
  </w:style>
  <w:style w:type="paragraph" w:customStyle="1" w:styleId="Pa0">
    <w:name w:val="Pa0"/>
    <w:basedOn w:val="Normal"/>
    <w:next w:val="Normal"/>
    <w:uiPriority w:val="99"/>
    <w:rsid w:val="00F1154E"/>
    <w:pPr>
      <w:autoSpaceDE w:val="0"/>
      <w:autoSpaceDN w:val="0"/>
      <w:adjustRightInd w:val="0"/>
      <w:spacing w:after="0" w:line="221" w:lineRule="atLeast"/>
    </w:pPr>
    <w:rPr>
      <w:rFonts w:ascii="Arial" w:hAnsi="Arial" w:cs="Arial"/>
      <w:sz w:val="24"/>
      <w:szCs w:val="24"/>
    </w:rPr>
  </w:style>
  <w:style w:type="paragraph" w:customStyle="1" w:styleId="Pa2">
    <w:name w:val="Pa2"/>
    <w:basedOn w:val="Normal"/>
    <w:next w:val="Normal"/>
    <w:uiPriority w:val="99"/>
    <w:rsid w:val="0051271F"/>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51271F"/>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Burns</dc:creator>
  <cp:lastModifiedBy>Gary Beaumont</cp:lastModifiedBy>
  <cp:revision>33</cp:revision>
  <dcterms:created xsi:type="dcterms:W3CDTF">2018-04-09T09:58:00Z</dcterms:created>
  <dcterms:modified xsi:type="dcterms:W3CDTF">2018-05-17T09:44:00Z</dcterms:modified>
</cp:coreProperties>
</file>