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46" w:rsidRDefault="00C65646" w:rsidP="00C65646">
      <w:pPr>
        <w:keepNext/>
        <w:spacing w:before="240" w:after="60" w:line="240" w:lineRule="auto"/>
        <w:jc w:val="center"/>
        <w:outlineLvl w:val="0"/>
        <w:rPr>
          <w:rFonts w:ascii="Comic Sans MS" w:eastAsia="Times New Roman" w:hAnsi="Comic Sans MS" w:cs="Times New Roman"/>
          <w:bCs/>
          <w:kern w:val="32"/>
          <w:sz w:val="28"/>
          <w:szCs w:val="24"/>
          <w:u w:val="single"/>
          <w:lang w:val="en" w:eastAsia="en-GB"/>
        </w:rPr>
      </w:pPr>
    </w:p>
    <w:p w:rsidR="00C65646" w:rsidRDefault="00C65646" w:rsidP="00C65646">
      <w:pPr>
        <w:keepNext/>
        <w:spacing w:before="240" w:after="60" w:line="240" w:lineRule="auto"/>
        <w:jc w:val="center"/>
        <w:outlineLvl w:val="0"/>
        <w:rPr>
          <w:rFonts w:ascii="Comic Sans MS" w:eastAsia="Times New Roman" w:hAnsi="Comic Sans MS" w:cs="Times New Roman"/>
          <w:bCs/>
          <w:kern w:val="32"/>
          <w:sz w:val="28"/>
          <w:szCs w:val="24"/>
          <w:u w:val="single"/>
          <w:lang w:val="en" w:eastAsia="en-GB"/>
        </w:rPr>
      </w:pPr>
    </w:p>
    <w:p w:rsidR="00C65646" w:rsidRPr="00C65646" w:rsidRDefault="00C65646" w:rsidP="00C65646">
      <w:pPr>
        <w:keepNext/>
        <w:spacing w:before="240" w:after="60" w:line="240" w:lineRule="auto"/>
        <w:jc w:val="center"/>
        <w:outlineLvl w:val="0"/>
        <w:rPr>
          <w:rFonts w:ascii="Comic Sans MS" w:eastAsia="Times New Roman" w:hAnsi="Comic Sans MS" w:cs="Times New Roman"/>
          <w:bCs/>
          <w:kern w:val="32"/>
          <w:sz w:val="28"/>
          <w:szCs w:val="24"/>
          <w:u w:val="single"/>
          <w:lang w:val="en" w:eastAsia="en-GB"/>
        </w:rPr>
      </w:pPr>
      <w:r w:rsidRPr="00C65646">
        <w:rPr>
          <w:rFonts w:ascii="Comic Sans MS" w:eastAsia="Times New Roman" w:hAnsi="Comic Sans MS" w:cs="Times New Roman"/>
          <w:bCs/>
          <w:kern w:val="32"/>
          <w:sz w:val="28"/>
          <w:szCs w:val="24"/>
          <w:u w:val="single"/>
          <w:lang w:val="en" w:eastAsia="en-GB"/>
        </w:rPr>
        <w:t>The Purple Star Strategy</w:t>
      </w:r>
    </w:p>
    <w:p w:rsidR="00C65646" w:rsidRPr="00C65646" w:rsidRDefault="00C65646" w:rsidP="00C65646">
      <w:pPr>
        <w:spacing w:after="0" w:line="240" w:lineRule="auto"/>
        <w:rPr>
          <w:rFonts w:ascii="Times New Roman" w:eastAsia="Times New Roman" w:hAnsi="Times New Roman" w:cs="Times New Roman"/>
          <w:sz w:val="24"/>
          <w:szCs w:val="24"/>
          <w:lang w:val="en" w:eastAsia="en-GB"/>
        </w:rPr>
      </w:pPr>
    </w:p>
    <w:p w:rsidR="00C65646" w:rsidRPr="00C65646" w:rsidRDefault="00C65646" w:rsidP="00C65646">
      <w:pPr>
        <w:spacing w:before="100" w:beforeAutospacing="1" w:after="100" w:afterAutospacing="1" w:line="240" w:lineRule="auto"/>
        <w:rPr>
          <w:rFonts w:ascii="Comic Sans MS" w:eastAsia="Times New Roman" w:hAnsi="Comic Sans MS" w:cs="Times New Roman"/>
          <w:sz w:val="24"/>
          <w:szCs w:val="24"/>
          <w:lang w:val="en" w:eastAsia="en-GB"/>
        </w:rPr>
      </w:pPr>
      <w:r w:rsidRPr="00C65646">
        <w:rPr>
          <w:rFonts w:ascii="Comic Sans MS" w:eastAsia="Times New Roman" w:hAnsi="Comic Sans MS" w:cs="Times New Roman"/>
          <w:sz w:val="24"/>
          <w:szCs w:val="24"/>
          <w:lang w:val="en" w:eastAsia="en-GB"/>
        </w:rPr>
        <w:t xml:space="preserve">The Purple Star brand was developed in 2014 by the Hertfordshire Community Learning Disability Services through the Health Liaison Team [Herts County Council] in partnership with service users, </w:t>
      </w:r>
      <w:proofErr w:type="spellStart"/>
      <w:r w:rsidRPr="00C65646">
        <w:rPr>
          <w:rFonts w:ascii="Comic Sans MS" w:eastAsia="Times New Roman" w:hAnsi="Comic Sans MS" w:cs="Times New Roman"/>
          <w:sz w:val="24"/>
          <w:szCs w:val="24"/>
          <w:lang w:val="en" w:eastAsia="en-GB"/>
        </w:rPr>
        <w:t>carers</w:t>
      </w:r>
      <w:proofErr w:type="spellEnd"/>
      <w:r w:rsidRPr="00C65646">
        <w:rPr>
          <w:rFonts w:ascii="Comic Sans MS" w:eastAsia="Times New Roman" w:hAnsi="Comic Sans MS" w:cs="Times New Roman"/>
          <w:sz w:val="24"/>
          <w:szCs w:val="24"/>
          <w:lang w:val="en" w:eastAsia="en-GB"/>
        </w:rPr>
        <w:t xml:space="preserve"> and the University </w:t>
      </w:r>
      <w:proofErr w:type="gramStart"/>
      <w:r w:rsidRPr="00C65646">
        <w:rPr>
          <w:rFonts w:ascii="Comic Sans MS" w:eastAsia="Times New Roman" w:hAnsi="Comic Sans MS" w:cs="Times New Roman"/>
          <w:sz w:val="24"/>
          <w:szCs w:val="24"/>
          <w:lang w:val="en" w:eastAsia="en-GB"/>
        </w:rPr>
        <w:t>of</w:t>
      </w:r>
      <w:proofErr w:type="gramEnd"/>
      <w:r w:rsidRPr="00C65646">
        <w:rPr>
          <w:rFonts w:ascii="Comic Sans MS" w:eastAsia="Times New Roman" w:hAnsi="Comic Sans MS" w:cs="Times New Roman"/>
          <w:sz w:val="24"/>
          <w:szCs w:val="24"/>
          <w:lang w:val="en" w:eastAsia="en-GB"/>
        </w:rPr>
        <w:t xml:space="preserve"> Hertfordshire Business School.</w:t>
      </w:r>
    </w:p>
    <w:p w:rsidR="00C65646" w:rsidRPr="00C65646" w:rsidRDefault="00C65646" w:rsidP="00C65646">
      <w:pPr>
        <w:spacing w:before="100" w:beforeAutospacing="1" w:after="100" w:afterAutospacing="1" w:line="240" w:lineRule="auto"/>
        <w:rPr>
          <w:rFonts w:ascii="Comic Sans MS" w:eastAsia="Times New Roman" w:hAnsi="Comic Sans MS" w:cs="Times New Roman"/>
          <w:sz w:val="24"/>
          <w:szCs w:val="24"/>
          <w:lang w:val="en" w:eastAsia="en-GB"/>
        </w:rPr>
      </w:pPr>
      <w:r w:rsidRPr="00C65646">
        <w:rPr>
          <w:rFonts w:ascii="Comic Sans MS" w:eastAsia="Times New Roman" w:hAnsi="Comic Sans MS" w:cs="Times New Roman"/>
          <w:sz w:val="24"/>
          <w:szCs w:val="24"/>
          <w:lang w:val="en" w:eastAsia="en-GB"/>
        </w:rPr>
        <w:t xml:space="preserve">The Purple Star is a Trade Mark which is accredited to health services who demonstrate the delivery of high quality reasonably adjusted services to adults with learning disabilities across Hertfordshire, in line with the requirements of the Equality Act 2010. </w:t>
      </w:r>
    </w:p>
    <w:p w:rsidR="00C65646" w:rsidRPr="00C65646" w:rsidRDefault="00C65646" w:rsidP="00C65646">
      <w:pPr>
        <w:spacing w:before="100" w:beforeAutospacing="1" w:after="100" w:afterAutospacing="1" w:line="240" w:lineRule="auto"/>
        <w:rPr>
          <w:rFonts w:ascii="Comic Sans MS" w:eastAsia="Times New Roman" w:hAnsi="Comic Sans MS" w:cs="Times New Roman"/>
          <w:sz w:val="24"/>
          <w:szCs w:val="24"/>
          <w:lang w:val="en" w:eastAsia="en-GB"/>
        </w:rPr>
      </w:pPr>
      <w:r w:rsidRPr="00C65646">
        <w:rPr>
          <w:rFonts w:ascii="Comic Sans MS" w:eastAsia="Times New Roman" w:hAnsi="Comic Sans MS" w:cs="Times New Roman"/>
          <w:sz w:val="24"/>
          <w:szCs w:val="24"/>
          <w:lang w:val="en" w:eastAsia="en-GB"/>
        </w:rPr>
        <w:t xml:space="preserve">Like a "kite mark" the presence of a Purple Star at a health service provider indicates that a defined set of standards, as set out in the Purple Star Promise, have been achieved by that health service provider and are consistently being maintained. </w:t>
      </w:r>
    </w:p>
    <w:p w:rsidR="00C65646" w:rsidRPr="00C65646" w:rsidRDefault="00C65646" w:rsidP="00C65646">
      <w:pPr>
        <w:spacing w:before="100" w:beforeAutospacing="1" w:after="100" w:afterAutospacing="1" w:line="240" w:lineRule="auto"/>
        <w:jc w:val="center"/>
        <w:outlineLvl w:val="2"/>
        <w:rPr>
          <w:rFonts w:ascii="Comic Sans MS" w:eastAsia="Times New Roman" w:hAnsi="Comic Sans MS" w:cs="Times New Roman"/>
          <w:b/>
          <w:bCs/>
          <w:sz w:val="24"/>
          <w:szCs w:val="24"/>
          <w:lang w:val="en" w:eastAsia="en-GB"/>
        </w:rPr>
      </w:pPr>
    </w:p>
    <w:p w:rsidR="00C65646" w:rsidRPr="00C65646" w:rsidRDefault="00C65646" w:rsidP="00C65646">
      <w:pPr>
        <w:spacing w:before="100" w:beforeAutospacing="1" w:after="100" w:afterAutospacing="1" w:line="240" w:lineRule="auto"/>
        <w:rPr>
          <w:rFonts w:ascii="Comic Sans MS" w:eastAsia="Times New Roman" w:hAnsi="Comic Sans MS" w:cs="Arial"/>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simplePos x="0" y="0"/>
            <wp:positionH relativeFrom="column">
              <wp:posOffset>2038350</wp:posOffset>
            </wp:positionH>
            <wp:positionV relativeFrom="paragraph">
              <wp:posOffset>819150</wp:posOffset>
            </wp:positionV>
            <wp:extent cx="2562225" cy="2543175"/>
            <wp:effectExtent l="0" t="0" r="9525" b="9525"/>
            <wp:wrapTight wrapText="bothSides">
              <wp:wrapPolygon edited="0">
                <wp:start x="0" y="0"/>
                <wp:lineTo x="0" y="21519"/>
                <wp:lineTo x="21520" y="21519"/>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ind w:firstLine="720"/>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spacing w:after="0" w:line="240" w:lineRule="auto"/>
        <w:rPr>
          <w:rFonts w:ascii="Comic Sans MS" w:eastAsia="Times New Roman" w:hAnsi="Comic Sans MS" w:cs="Arial"/>
          <w:sz w:val="24"/>
          <w:szCs w:val="24"/>
          <w:lang w:eastAsia="en-GB"/>
        </w:rPr>
      </w:pPr>
    </w:p>
    <w:p w:rsidR="00C65646" w:rsidRPr="00C65646" w:rsidRDefault="00C65646" w:rsidP="00C65646">
      <w:pPr>
        <w:tabs>
          <w:tab w:val="left" w:pos="960"/>
        </w:tabs>
        <w:spacing w:after="0" w:line="240" w:lineRule="auto"/>
        <w:rPr>
          <w:rFonts w:ascii="Comic Sans MS" w:eastAsia="Times New Roman" w:hAnsi="Comic Sans MS" w:cs="Arial"/>
          <w:sz w:val="24"/>
          <w:szCs w:val="24"/>
          <w:lang w:eastAsia="en-GB"/>
        </w:rPr>
      </w:pPr>
      <w:r w:rsidRPr="00C65646">
        <w:rPr>
          <w:rFonts w:ascii="Comic Sans MS" w:eastAsia="Times New Roman" w:hAnsi="Comic Sans MS" w:cs="Arial"/>
          <w:sz w:val="24"/>
          <w:szCs w:val="24"/>
          <w:lang w:eastAsia="en-GB"/>
        </w:rPr>
        <w:tab/>
      </w:r>
    </w:p>
    <w:p w:rsidR="00C65646" w:rsidRDefault="00C65646" w:rsidP="00C65646">
      <w:pPr>
        <w:spacing w:after="0" w:line="240" w:lineRule="auto"/>
        <w:jc w:val="center"/>
        <w:rPr>
          <w:rFonts w:ascii="Times New Roman" w:eastAsia="Times New Roman" w:hAnsi="Times New Roman" w:cs="Times New Roman"/>
          <w:sz w:val="24"/>
          <w:szCs w:val="24"/>
          <w:lang w:eastAsia="en-GB"/>
        </w:rPr>
      </w:pPr>
      <w:r w:rsidRPr="00C65646">
        <w:rPr>
          <w:rFonts w:ascii="Times New Roman" w:eastAsia="Times New Roman" w:hAnsi="Times New Roman" w:cs="Times New Roman"/>
          <w:sz w:val="24"/>
          <w:szCs w:val="24"/>
          <w:lang w:eastAsia="en-GB"/>
        </w:rPr>
        <w:br w:type="page"/>
      </w:r>
    </w:p>
    <w:p w:rsidR="00C65646" w:rsidRDefault="00C65646" w:rsidP="00C65646">
      <w:pPr>
        <w:spacing w:after="0" w:line="240" w:lineRule="auto"/>
        <w:jc w:val="center"/>
        <w:rPr>
          <w:rFonts w:ascii="Times New Roman" w:eastAsia="Times New Roman" w:hAnsi="Times New Roman" w:cs="Times New Roman"/>
          <w:sz w:val="24"/>
          <w:szCs w:val="24"/>
          <w:lang w:eastAsia="en-GB"/>
        </w:rPr>
      </w:pPr>
    </w:p>
    <w:p w:rsidR="00C65646" w:rsidRDefault="00C65646" w:rsidP="00C65646">
      <w:pPr>
        <w:spacing w:after="0" w:line="240" w:lineRule="auto"/>
        <w:jc w:val="center"/>
        <w:rPr>
          <w:rFonts w:ascii="Times New Roman" w:eastAsia="Times New Roman" w:hAnsi="Times New Roman" w:cs="Times New Roman"/>
          <w:sz w:val="24"/>
          <w:szCs w:val="24"/>
          <w:lang w:eastAsia="en-GB"/>
        </w:rPr>
      </w:pPr>
    </w:p>
    <w:p w:rsidR="00C65646" w:rsidRPr="00C65646" w:rsidRDefault="00C65646" w:rsidP="00C65646">
      <w:pPr>
        <w:spacing w:after="0" w:line="240" w:lineRule="auto"/>
        <w:jc w:val="center"/>
        <w:rPr>
          <w:rFonts w:ascii="Comic Sans MS" w:eastAsia="Calibri" w:hAnsi="Comic Sans MS" w:cs="Times New Roman"/>
          <w:b/>
          <w:sz w:val="28"/>
          <w:szCs w:val="24"/>
        </w:rPr>
      </w:pPr>
      <w:r w:rsidRPr="00C65646">
        <w:rPr>
          <w:rFonts w:ascii="Comic Sans MS" w:eastAsia="Calibri" w:hAnsi="Comic Sans MS" w:cs="Times New Roman"/>
          <w:b/>
          <w:sz w:val="28"/>
          <w:szCs w:val="24"/>
        </w:rPr>
        <w:t>The Purple Star Process</w:t>
      </w:r>
    </w:p>
    <w:p w:rsidR="00C65646" w:rsidRPr="00C65646" w:rsidRDefault="00C65646" w:rsidP="00C65646">
      <w:pPr>
        <w:rPr>
          <w:rFonts w:ascii="Comic Sans MS" w:eastAsia="Calibri" w:hAnsi="Comic Sans MS" w:cs="Times New Roman"/>
          <w:b/>
          <w:sz w:val="24"/>
          <w:szCs w:val="24"/>
        </w:rPr>
      </w:pPr>
      <w:r w:rsidRPr="00C65646">
        <w:rPr>
          <w:rFonts w:ascii="Comic Sans MS" w:eastAsia="Calibri" w:hAnsi="Comic Sans MS" w:cs="Times New Roman"/>
          <w:b/>
          <w:sz w:val="24"/>
          <w:szCs w:val="24"/>
        </w:rPr>
        <w:t xml:space="preserve">1. Application –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Once a Service has applied and completed their self-evaluation form then their application will be taken to the Purple Star Strategy steering committee for prioritisation for work to commence.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In the meantime the service should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 xml:space="preserve"> A. Identify a learning disability champion</w:t>
      </w:r>
      <w:r w:rsidRPr="00C65646">
        <w:rPr>
          <w:rFonts w:ascii="Comic Sans MS" w:eastAsia="Calibri" w:hAnsi="Comic Sans MS" w:cs="Times New Roman"/>
          <w:sz w:val="24"/>
          <w:szCs w:val="24"/>
        </w:rPr>
        <w:t xml:space="preserve"> within their service. This should ideally be a senior member of the staff team as their role is to take the lead for the service in:- </w:t>
      </w:r>
    </w:p>
    <w:p w:rsidR="00C65646" w:rsidRPr="00C65646" w:rsidRDefault="00C65646" w:rsidP="00C65646">
      <w:pPr>
        <w:numPr>
          <w:ilvl w:val="0"/>
          <w:numId w:val="1"/>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ensuring compliance with the strategy standards</w:t>
      </w:r>
    </w:p>
    <w:p w:rsidR="00C65646" w:rsidRPr="00C65646" w:rsidRDefault="00C65646" w:rsidP="00C65646">
      <w:pPr>
        <w:numPr>
          <w:ilvl w:val="0"/>
          <w:numId w:val="1"/>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supports the staff team in the collection of the evidence on the recording forms</w:t>
      </w:r>
    </w:p>
    <w:p w:rsidR="00C65646" w:rsidRPr="00C65646" w:rsidRDefault="00C65646" w:rsidP="00C65646">
      <w:pPr>
        <w:numPr>
          <w:ilvl w:val="0"/>
          <w:numId w:val="1"/>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oversees staffs training needs and liaises both in house and with their link nurse</w:t>
      </w:r>
    </w:p>
    <w:p w:rsidR="00C65646" w:rsidRPr="00C65646" w:rsidRDefault="00C65646" w:rsidP="00C65646">
      <w:pPr>
        <w:numPr>
          <w:ilvl w:val="0"/>
          <w:numId w:val="1"/>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Promotes constant service development and improvements in line with changing legislation and good practice.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B. Start considering what reasonable adjustments</w:t>
      </w:r>
      <w:r w:rsidRPr="00C65646">
        <w:rPr>
          <w:rFonts w:ascii="Comic Sans MS" w:eastAsia="Calibri" w:hAnsi="Comic Sans MS" w:cs="Times New Roman"/>
          <w:sz w:val="24"/>
          <w:szCs w:val="24"/>
        </w:rPr>
        <w:t xml:space="preserve"> they already offer to adults with a learning disability and what areas they could improve on.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C. Identify individual carer’s of and patients / customers with a learning disability</w:t>
      </w:r>
      <w:r w:rsidRPr="00C65646">
        <w:rPr>
          <w:rFonts w:ascii="Comic Sans MS" w:eastAsia="Calibri" w:hAnsi="Comic Sans MS" w:cs="Times New Roman"/>
          <w:sz w:val="24"/>
          <w:szCs w:val="24"/>
        </w:rPr>
        <w:t xml:space="preserve"> who may be able to support them in identifying ways they could improve their service delivery</w:t>
      </w:r>
    </w:p>
    <w:p w:rsidR="00C65646" w:rsidRDefault="00C65646" w:rsidP="00C65646">
      <w:pPr>
        <w:rPr>
          <w:rFonts w:ascii="Comic Sans MS" w:eastAsia="Calibri" w:hAnsi="Comic Sans MS" w:cs="Times New Roman"/>
          <w:b/>
          <w:sz w:val="24"/>
          <w:szCs w:val="24"/>
        </w:rPr>
      </w:pPr>
      <w:r w:rsidRPr="00C65646">
        <w:rPr>
          <w:rFonts w:ascii="Comic Sans MS" w:eastAsia="Calibri" w:hAnsi="Comic Sans MS" w:cs="Times New Roman"/>
          <w:b/>
          <w:sz w:val="24"/>
          <w:szCs w:val="24"/>
        </w:rPr>
        <w:t xml:space="preserve">D. Supply your link nurse or Purple Star Nurse with a list of Service Providers who use your service. </w:t>
      </w:r>
      <w:r w:rsidRPr="00C65646">
        <w:rPr>
          <w:rFonts w:ascii="Comic Sans MS" w:eastAsia="Calibri" w:hAnsi="Comic Sans MS" w:cs="Times New Roman"/>
          <w:sz w:val="24"/>
          <w:szCs w:val="24"/>
        </w:rPr>
        <w:t>They will be asked for feedback about your service and this will be built into your action plan</w:t>
      </w:r>
      <w:r w:rsidRPr="00C65646">
        <w:rPr>
          <w:rFonts w:ascii="Comic Sans MS" w:eastAsia="Calibri" w:hAnsi="Comic Sans MS" w:cs="Times New Roman"/>
          <w:b/>
          <w:sz w:val="24"/>
          <w:szCs w:val="24"/>
        </w:rPr>
        <w:t xml:space="preserve">. </w:t>
      </w:r>
    </w:p>
    <w:p w:rsidR="00662450" w:rsidRPr="00662450" w:rsidRDefault="00662450" w:rsidP="00C65646">
      <w:pPr>
        <w:rPr>
          <w:rFonts w:ascii="Comic Sans MS" w:eastAsia="Calibri" w:hAnsi="Comic Sans MS" w:cs="Times New Roman"/>
          <w:sz w:val="24"/>
          <w:szCs w:val="24"/>
        </w:rPr>
      </w:pPr>
      <w:r>
        <w:rPr>
          <w:rFonts w:ascii="Comic Sans MS" w:eastAsia="Calibri" w:hAnsi="Comic Sans MS" w:cs="Times New Roman"/>
          <w:b/>
          <w:sz w:val="24"/>
          <w:szCs w:val="24"/>
        </w:rPr>
        <w:t>E. Have a look at the Actions for Accreditation [</w:t>
      </w:r>
      <w:r w:rsidRPr="00662450">
        <w:rPr>
          <w:rFonts w:ascii="Comic Sans MS" w:eastAsia="Calibri" w:hAnsi="Comic Sans MS" w:cs="Times New Roman"/>
          <w:sz w:val="24"/>
          <w:szCs w:val="24"/>
        </w:rPr>
        <w:t xml:space="preserve">on </w:t>
      </w:r>
      <w:proofErr w:type="gramStart"/>
      <w:r w:rsidRPr="00662450">
        <w:rPr>
          <w:rFonts w:ascii="Comic Sans MS" w:eastAsia="Calibri" w:hAnsi="Comic Sans MS" w:cs="Times New Roman"/>
          <w:sz w:val="24"/>
          <w:szCs w:val="24"/>
        </w:rPr>
        <w:t>the</w:t>
      </w:r>
      <w:r>
        <w:rPr>
          <w:rFonts w:ascii="Comic Sans MS" w:eastAsia="Calibri" w:hAnsi="Comic Sans MS" w:cs="Times New Roman"/>
          <w:b/>
          <w:sz w:val="24"/>
          <w:szCs w:val="24"/>
        </w:rPr>
        <w:t xml:space="preserve"> </w:t>
      </w:r>
      <w:r w:rsidRPr="00662450">
        <w:rPr>
          <w:rFonts w:ascii="Comic Sans MS" w:eastAsia="Calibri" w:hAnsi="Comic Sans MS" w:cs="Times New Roman"/>
          <w:b/>
          <w:sz w:val="24"/>
          <w:szCs w:val="24"/>
        </w:rPr>
        <w:t xml:space="preserve"> Accreditation</w:t>
      </w:r>
      <w:proofErr w:type="gramEnd"/>
      <w:r w:rsidRPr="00662450">
        <w:rPr>
          <w:rFonts w:ascii="Comic Sans MS" w:eastAsia="Calibri" w:hAnsi="Comic Sans MS" w:cs="Times New Roman"/>
          <w:b/>
          <w:sz w:val="24"/>
          <w:szCs w:val="24"/>
        </w:rPr>
        <w:t xml:space="preserve"> Report – Actions for Accreditation</w:t>
      </w:r>
      <w:r>
        <w:rPr>
          <w:rFonts w:ascii="Comic Sans MS" w:eastAsia="Calibri" w:hAnsi="Comic Sans MS" w:cs="Times New Roman"/>
          <w:b/>
          <w:sz w:val="24"/>
          <w:szCs w:val="24"/>
        </w:rPr>
        <w:t xml:space="preserve">] </w:t>
      </w:r>
      <w:r>
        <w:rPr>
          <w:rFonts w:ascii="Comic Sans MS" w:eastAsia="Calibri" w:hAnsi="Comic Sans MS" w:cs="Times New Roman"/>
          <w:sz w:val="24"/>
          <w:szCs w:val="24"/>
        </w:rPr>
        <w:t xml:space="preserve">and start keeping a record of any of the criteria you already have evidence that you are achieving.  </w:t>
      </w:r>
    </w:p>
    <w:p w:rsidR="00C65646" w:rsidRPr="00C65646" w:rsidRDefault="00C65646" w:rsidP="00C65646">
      <w:pPr>
        <w:rPr>
          <w:rFonts w:ascii="Comic Sans MS" w:eastAsia="Calibri" w:hAnsi="Comic Sans MS" w:cs="Times New Roman"/>
          <w:b/>
          <w:sz w:val="24"/>
          <w:szCs w:val="24"/>
        </w:rPr>
      </w:pPr>
      <w:r w:rsidRPr="00C65646">
        <w:rPr>
          <w:rFonts w:ascii="Comic Sans MS" w:eastAsia="Calibri" w:hAnsi="Comic Sans MS" w:cs="Times New Roman"/>
          <w:b/>
          <w:sz w:val="24"/>
          <w:szCs w:val="24"/>
        </w:rPr>
        <w:t>REMEMBER: This is a WHOLE SERVICE award. Please include your full staff team in all you do</w:t>
      </w:r>
    </w:p>
    <w:p w:rsidR="00C65646" w:rsidRPr="00C65646" w:rsidRDefault="00C65646" w:rsidP="00C65646">
      <w:pPr>
        <w:rPr>
          <w:rFonts w:ascii="Comic Sans MS" w:eastAsia="Calibri" w:hAnsi="Comic Sans MS" w:cs="Times New Roman"/>
          <w:b/>
          <w:sz w:val="24"/>
          <w:szCs w:val="24"/>
        </w:rPr>
      </w:pPr>
      <w:r w:rsidRPr="00C65646">
        <w:rPr>
          <w:rFonts w:ascii="Comic Sans MS" w:eastAsia="Calibri" w:hAnsi="Comic Sans MS" w:cs="Times New Roman"/>
          <w:b/>
          <w:sz w:val="24"/>
          <w:szCs w:val="24"/>
        </w:rPr>
        <w:t xml:space="preserve">2. First Meeting –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Once the Purple Star Strategy team have capacity to start working with the service they will arrange to visit and meet with the Learning Disability Champion from that health service provider, and any other key staff members.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At this meeting they will discuss the whole purple star process, the action plan, the training requirements, the staff team’s current attitude etc.  </w:t>
      </w:r>
    </w:p>
    <w:p w:rsid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If the service wishes to progress they will be asked to sign the agreement and will be given their purple star strategy folder.</w:t>
      </w:r>
    </w:p>
    <w:p w:rsidR="00662450" w:rsidRPr="00C65646" w:rsidRDefault="00662450" w:rsidP="00C65646">
      <w:pPr>
        <w:rPr>
          <w:rFonts w:ascii="Comic Sans MS" w:eastAsia="Calibri" w:hAnsi="Comic Sans MS" w:cs="Times New Roman"/>
          <w:sz w:val="24"/>
          <w:szCs w:val="24"/>
        </w:rPr>
      </w:pP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3. Accreditation Action Plan</w:t>
      </w:r>
      <w:r w:rsidRPr="00C65646">
        <w:rPr>
          <w:rFonts w:ascii="Comic Sans MS" w:eastAsia="Calibri" w:hAnsi="Comic Sans MS" w:cs="Times New Roman"/>
          <w:sz w:val="24"/>
          <w:szCs w:val="24"/>
        </w:rPr>
        <w:t xml:space="preserve"> –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The Purple Star Strategy team and the allocated community learning disability link nurse will work with the services Learning disability champion, other key staff members and potentially carer and learning disability service user’s representatives to establish what the service is already offering, in line with the promise criteria, and what additional things they need to achieve.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During this stage the community learning disability services expert by experience will also visit the service to scope and give advice on service improvement from the perspective of someone with a learning disability.</w:t>
      </w:r>
    </w:p>
    <w:p w:rsidR="00662450" w:rsidRDefault="00C65646" w:rsidP="00515381">
      <w:pPr>
        <w:ind w:left="720"/>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The Actions required to meet the base line standard for accr</w:t>
      </w:r>
      <w:r w:rsidR="00662450">
        <w:rPr>
          <w:rFonts w:ascii="Comic Sans MS" w:eastAsia="Calibri" w:hAnsi="Comic Sans MS" w:cs="Times New Roman"/>
          <w:sz w:val="24"/>
          <w:szCs w:val="24"/>
        </w:rPr>
        <w:t xml:space="preserve">editation will be recorded on </w:t>
      </w:r>
      <w:r w:rsidR="00662450" w:rsidRPr="00662450">
        <w:rPr>
          <w:rFonts w:ascii="Comic Sans MS" w:eastAsia="Calibri" w:hAnsi="Comic Sans MS" w:cs="Times New Roman"/>
          <w:b/>
          <w:sz w:val="24"/>
          <w:szCs w:val="24"/>
        </w:rPr>
        <w:t>The Accreditation Report – Actions for Accreditation</w:t>
      </w:r>
      <w:r w:rsidR="00662450">
        <w:rPr>
          <w:rFonts w:ascii="Comic Sans MS" w:eastAsia="Calibri" w:hAnsi="Comic Sans MS" w:cs="Times New Roman"/>
          <w:sz w:val="24"/>
          <w:szCs w:val="24"/>
        </w:rPr>
        <w:t xml:space="preserve"> Document. This will form the basis of the evidence of achievement for each </w:t>
      </w:r>
      <w:proofErr w:type="gramStart"/>
      <w:r w:rsidR="00662450">
        <w:rPr>
          <w:rFonts w:ascii="Comic Sans MS" w:eastAsia="Calibri" w:hAnsi="Comic Sans MS" w:cs="Times New Roman"/>
          <w:sz w:val="24"/>
          <w:szCs w:val="24"/>
        </w:rPr>
        <w:t>criteria</w:t>
      </w:r>
      <w:proofErr w:type="gramEnd"/>
      <w:r w:rsidR="00662450">
        <w:rPr>
          <w:rFonts w:ascii="Comic Sans MS" w:eastAsia="Calibri" w:hAnsi="Comic Sans MS" w:cs="Times New Roman"/>
          <w:sz w:val="24"/>
          <w:szCs w:val="24"/>
        </w:rPr>
        <w:t xml:space="preserve"> and as an act</w:t>
      </w:r>
      <w:r w:rsidR="00515381">
        <w:rPr>
          <w:rFonts w:ascii="Comic Sans MS" w:eastAsia="Calibri" w:hAnsi="Comic Sans MS" w:cs="Times New Roman"/>
          <w:sz w:val="24"/>
          <w:szCs w:val="24"/>
        </w:rPr>
        <w:t>ion plan of outstanding actions.</w:t>
      </w:r>
    </w:p>
    <w:p w:rsidR="00C65646" w:rsidRPr="00C65646" w:rsidRDefault="00662450" w:rsidP="00C65646">
      <w:pPr>
        <w:ind w:left="720"/>
        <w:contextualSpacing/>
        <w:rPr>
          <w:rFonts w:ascii="Comic Sans MS" w:eastAsia="Calibri" w:hAnsi="Comic Sans MS" w:cs="Times New Roman"/>
          <w:sz w:val="24"/>
          <w:szCs w:val="24"/>
        </w:rPr>
      </w:pPr>
      <w:r>
        <w:rPr>
          <w:rFonts w:ascii="Comic Sans MS" w:eastAsia="Calibri" w:hAnsi="Comic Sans MS" w:cs="Times New Roman"/>
          <w:sz w:val="24"/>
          <w:szCs w:val="24"/>
        </w:rPr>
        <w:t xml:space="preserve"> </w:t>
      </w:r>
    </w:p>
    <w:p w:rsidR="009C2900" w:rsidRDefault="00662450" w:rsidP="00C65646">
      <w:pPr>
        <w:rPr>
          <w:rFonts w:ascii="Comic Sans MS" w:eastAsia="Calibri" w:hAnsi="Comic Sans MS" w:cs="Times New Roman"/>
          <w:sz w:val="24"/>
          <w:szCs w:val="24"/>
        </w:rPr>
      </w:pPr>
      <w:r>
        <w:rPr>
          <w:rFonts w:ascii="Comic Sans MS" w:eastAsia="Calibri" w:hAnsi="Comic Sans MS" w:cs="Times New Roman"/>
          <w:sz w:val="24"/>
          <w:szCs w:val="24"/>
        </w:rPr>
        <w:t>The</w:t>
      </w:r>
      <w:r w:rsidR="00C65646" w:rsidRPr="00C65646">
        <w:rPr>
          <w:rFonts w:ascii="Comic Sans MS" w:eastAsia="Calibri" w:hAnsi="Comic Sans MS" w:cs="Times New Roman"/>
          <w:sz w:val="24"/>
          <w:szCs w:val="24"/>
        </w:rPr>
        <w:t xml:space="preserve"> service </w:t>
      </w:r>
      <w:r>
        <w:rPr>
          <w:rFonts w:ascii="Comic Sans MS" w:eastAsia="Calibri" w:hAnsi="Comic Sans MS" w:cs="Times New Roman"/>
          <w:sz w:val="24"/>
          <w:szCs w:val="24"/>
        </w:rPr>
        <w:t>should</w:t>
      </w:r>
      <w:r w:rsidR="00C65646" w:rsidRPr="00C65646">
        <w:rPr>
          <w:rFonts w:ascii="Comic Sans MS" w:eastAsia="Calibri" w:hAnsi="Comic Sans MS" w:cs="Times New Roman"/>
          <w:sz w:val="24"/>
          <w:szCs w:val="24"/>
        </w:rPr>
        <w:t xml:space="preserve"> also start recording their evidence of good practice</w:t>
      </w:r>
      <w:r w:rsidR="009C2900">
        <w:rPr>
          <w:rFonts w:ascii="Comic Sans MS" w:eastAsia="Calibri" w:hAnsi="Comic Sans MS" w:cs="Times New Roman"/>
          <w:sz w:val="24"/>
          <w:szCs w:val="24"/>
        </w:rPr>
        <w:t xml:space="preserve"> and reasonable adjustments that they have made for specific individuals. </w:t>
      </w:r>
      <w:r w:rsidR="00C65646" w:rsidRPr="00C65646">
        <w:rPr>
          <w:rFonts w:ascii="Comic Sans MS" w:eastAsia="Calibri" w:hAnsi="Comic Sans MS" w:cs="Times New Roman"/>
          <w:sz w:val="24"/>
          <w:szCs w:val="24"/>
        </w:rPr>
        <w:t xml:space="preserve">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This should be recorded on </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The Purple Star Strategy Recording Log for reasonable adjustments to be made on </w:t>
      </w:r>
      <w:proofErr w:type="spellStart"/>
      <w:proofErr w:type="gramStart"/>
      <w:r w:rsidRPr="00C65646">
        <w:rPr>
          <w:rFonts w:ascii="Comic Sans MS" w:eastAsia="Calibri" w:hAnsi="Comic Sans MS" w:cs="Times New Roman"/>
          <w:sz w:val="24"/>
          <w:szCs w:val="24"/>
        </w:rPr>
        <w:t>a</w:t>
      </w:r>
      <w:proofErr w:type="spellEnd"/>
      <w:proofErr w:type="gramEnd"/>
      <w:r w:rsidRPr="00C65646">
        <w:rPr>
          <w:rFonts w:ascii="Comic Sans MS" w:eastAsia="Calibri" w:hAnsi="Comic Sans MS" w:cs="Times New Roman"/>
          <w:sz w:val="24"/>
          <w:szCs w:val="24"/>
        </w:rPr>
        <w:t xml:space="preserve"> individual basis - This should NOT contain personal information but should evidence what reasonable adjustments were made, and why and what the outcome was because of those adjustments. This form should also be used to record if a purple folder has been advised to someone without one or if safeguarding concerns w</w:t>
      </w:r>
      <w:r w:rsidR="009C2900">
        <w:rPr>
          <w:rFonts w:ascii="Comic Sans MS" w:eastAsia="Calibri" w:hAnsi="Comic Sans MS" w:cs="Times New Roman"/>
          <w:sz w:val="24"/>
          <w:szCs w:val="24"/>
        </w:rPr>
        <w:t xml:space="preserve">ere identified and reported on or evidence of </w:t>
      </w:r>
      <w:proofErr w:type="gramStart"/>
      <w:r w:rsidR="009C2900">
        <w:rPr>
          <w:rFonts w:ascii="Comic Sans MS" w:eastAsia="Calibri" w:hAnsi="Comic Sans MS" w:cs="Times New Roman"/>
          <w:sz w:val="24"/>
          <w:szCs w:val="24"/>
        </w:rPr>
        <w:t>Mental</w:t>
      </w:r>
      <w:proofErr w:type="gramEnd"/>
      <w:r w:rsidR="009C2900">
        <w:rPr>
          <w:rFonts w:ascii="Comic Sans MS" w:eastAsia="Calibri" w:hAnsi="Comic Sans MS" w:cs="Times New Roman"/>
          <w:sz w:val="24"/>
          <w:szCs w:val="24"/>
        </w:rPr>
        <w:t xml:space="preserve"> capacity and best interest decisions to treat and not to treat. </w:t>
      </w:r>
    </w:p>
    <w:p w:rsidR="00C65646" w:rsidRPr="00662450" w:rsidRDefault="00662450" w:rsidP="00C65646">
      <w:pPr>
        <w:rPr>
          <w:rFonts w:ascii="Comic Sans MS" w:eastAsia="Calibri" w:hAnsi="Comic Sans MS" w:cs="Times New Roman"/>
          <w:sz w:val="24"/>
          <w:szCs w:val="24"/>
        </w:rPr>
      </w:pPr>
      <w:r w:rsidRPr="00662450">
        <w:rPr>
          <w:rFonts w:ascii="Comic Sans MS" w:eastAsia="Calibri" w:hAnsi="Comic Sans MS" w:cs="Times New Roman"/>
          <w:sz w:val="24"/>
          <w:szCs w:val="24"/>
        </w:rPr>
        <w:t>The Steering co</w:t>
      </w:r>
      <w:r w:rsidR="009C2900">
        <w:rPr>
          <w:rFonts w:ascii="Comic Sans MS" w:eastAsia="Calibri" w:hAnsi="Comic Sans MS" w:cs="Times New Roman"/>
          <w:sz w:val="24"/>
          <w:szCs w:val="24"/>
        </w:rPr>
        <w:t xml:space="preserve">mmittee will require at least </w:t>
      </w:r>
      <w:r w:rsidRPr="00662450">
        <w:rPr>
          <w:rFonts w:ascii="Comic Sans MS" w:eastAsia="Calibri" w:hAnsi="Comic Sans MS" w:cs="Times New Roman"/>
          <w:sz w:val="24"/>
          <w:szCs w:val="24"/>
        </w:rPr>
        <w:t>10 individualised pieces of evidence – see examples of evidence at the bottom of this document.</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4. Training –</w:t>
      </w:r>
      <w:r w:rsidRPr="00C65646">
        <w:rPr>
          <w:rFonts w:ascii="Comic Sans MS" w:eastAsia="Calibri" w:hAnsi="Comic Sans MS" w:cs="Times New Roman"/>
          <w:sz w:val="24"/>
          <w:szCs w:val="24"/>
        </w:rPr>
        <w:t xml:space="preserve">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Training sessions will need to be organised to ensure an absolute minimum of 50% of </w:t>
      </w:r>
      <w:r w:rsidR="009C2900">
        <w:rPr>
          <w:rFonts w:ascii="Comic Sans MS" w:eastAsia="Calibri" w:hAnsi="Comic Sans MS" w:cs="Times New Roman"/>
          <w:sz w:val="24"/>
          <w:szCs w:val="24"/>
        </w:rPr>
        <w:t xml:space="preserve">each discipline of </w:t>
      </w:r>
      <w:r w:rsidRPr="00C65646">
        <w:rPr>
          <w:rFonts w:ascii="Comic Sans MS" w:eastAsia="Calibri" w:hAnsi="Comic Sans MS" w:cs="Times New Roman"/>
          <w:sz w:val="24"/>
          <w:szCs w:val="24"/>
        </w:rPr>
        <w:t xml:space="preserve">the staff team have received the purple star strategy training unless otherwise agreed and recorded on their promise criteria evidence log.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A record of who has been trained will need to be kept. Training information is in the strategy folder so the Learning Disability Champion will be able to give a training overview to any new staff starting, to ensure they understand the principles of the accredited service that they are joining. This does not replace the full training session. The Learning disability champion will need to liaise with the purple star strategy team for further training sessions if </w:t>
      </w:r>
      <w:r w:rsidRPr="00C65646">
        <w:rPr>
          <w:rFonts w:ascii="Comic Sans MS" w:eastAsia="Calibri" w:hAnsi="Comic Sans MS" w:cs="Times New Roman"/>
          <w:sz w:val="24"/>
          <w:szCs w:val="24"/>
        </w:rPr>
        <w:lastRenderedPageBreak/>
        <w:t xml:space="preserve">required, due to staff turnover or if they consider staffs approach is not in line with the accreditation standard and a refresher is required. </w:t>
      </w:r>
    </w:p>
    <w:p w:rsidR="00C65646" w:rsidRPr="00C65646" w:rsidRDefault="00C65646" w:rsidP="00C65646">
      <w:pPr>
        <w:rPr>
          <w:rFonts w:ascii="Comic Sans MS" w:eastAsia="Calibri" w:hAnsi="Comic Sans MS" w:cs="Times New Roman"/>
          <w:b/>
          <w:sz w:val="24"/>
          <w:szCs w:val="24"/>
        </w:rPr>
      </w:pP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5. Assessing Accreditation standard</w:t>
      </w:r>
      <w:r w:rsidRPr="00C65646">
        <w:rPr>
          <w:rFonts w:ascii="Comic Sans MS" w:eastAsia="Calibri" w:hAnsi="Comic Sans MS" w:cs="Times New Roman"/>
          <w:sz w:val="24"/>
          <w:szCs w:val="24"/>
        </w:rPr>
        <w:t xml:space="preserve"> – </w:t>
      </w:r>
    </w:p>
    <w:p w:rsidR="00C65646" w:rsidRPr="00C65646" w:rsidRDefault="00515381" w:rsidP="00C65646">
      <w:pPr>
        <w:rPr>
          <w:rFonts w:ascii="Comic Sans MS" w:eastAsia="Calibri" w:hAnsi="Comic Sans MS" w:cs="Times New Roman"/>
          <w:sz w:val="24"/>
          <w:szCs w:val="24"/>
        </w:rPr>
      </w:pPr>
      <w:r>
        <w:rPr>
          <w:rFonts w:ascii="Comic Sans MS" w:eastAsia="Calibri" w:hAnsi="Comic Sans MS" w:cs="Times New Roman"/>
          <w:sz w:val="24"/>
          <w:szCs w:val="24"/>
        </w:rPr>
        <w:t xml:space="preserve">Once </w:t>
      </w:r>
      <w:r w:rsidRPr="00C65646">
        <w:rPr>
          <w:rFonts w:ascii="Comic Sans MS" w:eastAsia="Calibri" w:hAnsi="Comic Sans MS" w:cs="Times New Roman"/>
          <w:sz w:val="24"/>
          <w:szCs w:val="24"/>
        </w:rPr>
        <w:t>the base line standard for accr</w:t>
      </w:r>
      <w:r>
        <w:rPr>
          <w:rFonts w:ascii="Comic Sans MS" w:eastAsia="Calibri" w:hAnsi="Comic Sans MS" w:cs="Times New Roman"/>
          <w:sz w:val="24"/>
          <w:szCs w:val="24"/>
        </w:rPr>
        <w:t xml:space="preserve">editation </w:t>
      </w:r>
      <w:r>
        <w:rPr>
          <w:rFonts w:ascii="Comic Sans MS" w:eastAsia="Calibri" w:hAnsi="Comic Sans MS" w:cs="Times New Roman"/>
          <w:sz w:val="24"/>
          <w:szCs w:val="24"/>
        </w:rPr>
        <w:t xml:space="preserve">have been achieved and </w:t>
      </w:r>
      <w:r w:rsidRPr="00C65646">
        <w:rPr>
          <w:rFonts w:ascii="Comic Sans MS" w:eastAsia="Calibri" w:hAnsi="Comic Sans MS" w:cs="Times New Roman"/>
          <w:sz w:val="24"/>
          <w:szCs w:val="24"/>
        </w:rPr>
        <w:t>evidenced</w:t>
      </w:r>
      <w:r>
        <w:rPr>
          <w:rFonts w:ascii="Comic Sans MS" w:eastAsia="Calibri" w:hAnsi="Comic Sans MS" w:cs="Times New Roman"/>
          <w:sz w:val="24"/>
          <w:szCs w:val="24"/>
        </w:rPr>
        <w:t xml:space="preserve"> in </w:t>
      </w:r>
      <w:r w:rsidRPr="00662450">
        <w:rPr>
          <w:rFonts w:ascii="Comic Sans MS" w:eastAsia="Calibri" w:hAnsi="Comic Sans MS" w:cs="Times New Roman"/>
          <w:b/>
          <w:sz w:val="24"/>
          <w:szCs w:val="24"/>
        </w:rPr>
        <w:t>The Accreditation Report – Actions for Accreditation</w:t>
      </w:r>
      <w:r>
        <w:rPr>
          <w:rFonts w:ascii="Comic Sans MS" w:eastAsia="Calibri" w:hAnsi="Comic Sans MS" w:cs="Times New Roman"/>
          <w:sz w:val="24"/>
          <w:szCs w:val="24"/>
        </w:rPr>
        <w:t xml:space="preserve"> completed by the purple star team </w:t>
      </w:r>
      <w:r w:rsidR="00C65646" w:rsidRPr="00C65646">
        <w:rPr>
          <w:rFonts w:ascii="Comic Sans MS" w:eastAsia="Calibri" w:hAnsi="Comic Sans MS" w:cs="Times New Roman"/>
          <w:sz w:val="24"/>
          <w:szCs w:val="24"/>
        </w:rPr>
        <w:t xml:space="preserve">then </w:t>
      </w:r>
      <w:r>
        <w:rPr>
          <w:rFonts w:ascii="Comic Sans MS" w:eastAsia="Calibri" w:hAnsi="Comic Sans MS" w:cs="Times New Roman"/>
          <w:sz w:val="24"/>
          <w:szCs w:val="24"/>
        </w:rPr>
        <w:t>we</w:t>
      </w:r>
      <w:r w:rsidR="00C65646" w:rsidRPr="00C65646">
        <w:rPr>
          <w:rFonts w:ascii="Comic Sans MS" w:eastAsia="Calibri" w:hAnsi="Comic Sans MS" w:cs="Times New Roman"/>
          <w:sz w:val="24"/>
          <w:szCs w:val="24"/>
        </w:rPr>
        <w:t xml:space="preserve"> will take the evidence to the purple star strategy steering committee for approval for accreditation.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The steering committee</w:t>
      </w:r>
      <w:r w:rsidRPr="00C65646">
        <w:rPr>
          <w:rFonts w:ascii="Comic Sans MS" w:eastAsia="Calibri" w:hAnsi="Comic Sans MS" w:cs="Times New Roman"/>
          <w:sz w:val="24"/>
          <w:szCs w:val="24"/>
        </w:rPr>
        <w:t xml:space="preserve"> is a group who provide strategic governance for the implementation of the purple star strategy. It comprises:-</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Experts by Experience</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Carers / supports reps</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Advocacy service reps</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Social Work Rep</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Strategic Lead Nurse</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Strategic Liaison Nurse</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Independent health care service rep</w:t>
      </w:r>
    </w:p>
    <w:p w:rsid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Community learning disability nurses </w:t>
      </w:r>
    </w:p>
    <w:p w:rsidR="00515381" w:rsidRPr="00515381" w:rsidRDefault="00515381" w:rsidP="00515381">
      <w:pPr>
        <w:spacing w:after="0" w:line="240" w:lineRule="auto"/>
        <w:ind w:left="720"/>
        <w:contextualSpacing/>
        <w:rPr>
          <w:rFonts w:ascii="Comic Sans MS" w:eastAsia="Calibri" w:hAnsi="Comic Sans MS" w:cs="Times New Roman"/>
          <w:sz w:val="24"/>
          <w:szCs w:val="24"/>
        </w:rPr>
      </w:pPr>
    </w:p>
    <w:p w:rsid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Once the service has been approved by the steering committee, then an award ceremony can be planned. The service can make this as big or small as they like. You can invite the mayor and local press and celebrate with a big bang, or we can simply deliver your award certificate and star to you. </w:t>
      </w:r>
    </w:p>
    <w:p w:rsidR="00515381" w:rsidRPr="00515381" w:rsidRDefault="00515381" w:rsidP="00C65646">
      <w:pPr>
        <w:rPr>
          <w:rFonts w:ascii="Comic Sans MS" w:eastAsia="Calibri" w:hAnsi="Comic Sans MS" w:cs="Times New Roman"/>
          <w:sz w:val="24"/>
          <w:szCs w:val="24"/>
        </w:rPr>
      </w:pP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6. Following Accreditation</w:t>
      </w:r>
      <w:r w:rsidRPr="00C65646">
        <w:rPr>
          <w:rFonts w:ascii="Comic Sans MS" w:eastAsia="Calibri" w:hAnsi="Comic Sans MS" w:cs="Times New Roman"/>
          <w:sz w:val="24"/>
          <w:szCs w:val="24"/>
        </w:rPr>
        <w:t xml:space="preserve"> -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The service MUST:-</w:t>
      </w:r>
    </w:p>
    <w:p w:rsidR="00C65646" w:rsidRPr="00C65646" w:rsidRDefault="00515381" w:rsidP="00C65646">
      <w:pPr>
        <w:numPr>
          <w:ilvl w:val="0"/>
          <w:numId w:val="4"/>
        </w:numPr>
        <w:spacing w:after="0" w:line="240" w:lineRule="auto"/>
        <w:contextualSpacing/>
        <w:rPr>
          <w:rFonts w:ascii="Comic Sans MS" w:eastAsia="Calibri" w:hAnsi="Comic Sans MS" w:cs="Times New Roman"/>
          <w:sz w:val="24"/>
          <w:szCs w:val="24"/>
        </w:rPr>
      </w:pPr>
      <w:r>
        <w:rPr>
          <w:rFonts w:ascii="Comic Sans MS" w:eastAsia="Calibri" w:hAnsi="Comic Sans MS" w:cs="Times New Roman"/>
          <w:sz w:val="24"/>
          <w:szCs w:val="24"/>
        </w:rPr>
        <w:t>M</w:t>
      </w:r>
      <w:r w:rsidR="00C65646" w:rsidRPr="00C65646">
        <w:rPr>
          <w:rFonts w:ascii="Comic Sans MS" w:eastAsia="Calibri" w:hAnsi="Comic Sans MS" w:cs="Times New Roman"/>
          <w:sz w:val="24"/>
          <w:szCs w:val="24"/>
        </w:rPr>
        <w:t xml:space="preserve">aintain staff training record to ensure they stay within the baseline requirement of 50% </w:t>
      </w:r>
      <w:r w:rsidR="00800807">
        <w:rPr>
          <w:rFonts w:ascii="Comic Sans MS" w:eastAsia="Calibri" w:hAnsi="Comic Sans MS" w:cs="Times New Roman"/>
          <w:sz w:val="24"/>
          <w:szCs w:val="24"/>
        </w:rPr>
        <w:t xml:space="preserve">across all disciplines </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Maintain recording log of </w:t>
      </w:r>
      <w:r w:rsidRPr="00800807">
        <w:rPr>
          <w:rFonts w:ascii="Comic Sans MS" w:eastAsia="Calibri" w:hAnsi="Comic Sans MS" w:cs="Times New Roman"/>
          <w:i/>
          <w:sz w:val="24"/>
          <w:szCs w:val="24"/>
        </w:rPr>
        <w:t>evidence of service of excellence</w:t>
      </w:r>
      <w:r w:rsidRPr="00C65646">
        <w:rPr>
          <w:rFonts w:ascii="Comic Sans MS" w:eastAsia="Calibri" w:hAnsi="Comic Sans MS" w:cs="Times New Roman"/>
          <w:sz w:val="24"/>
          <w:szCs w:val="24"/>
        </w:rPr>
        <w:t xml:space="preserve"> offered to adults with a learning disability</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Continue to work on their ongoing actions </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Demonstrate Continued compliance with all the promise criteria  </w:t>
      </w:r>
    </w:p>
    <w:p w:rsidR="00C65646" w:rsidRPr="00C65646" w:rsidRDefault="00515381" w:rsidP="00C65646">
      <w:pPr>
        <w:numPr>
          <w:ilvl w:val="0"/>
          <w:numId w:val="4"/>
        </w:numPr>
        <w:spacing w:after="0" w:line="240" w:lineRule="auto"/>
        <w:contextualSpacing/>
        <w:rPr>
          <w:rFonts w:ascii="Comic Sans MS" w:eastAsia="Calibri" w:hAnsi="Comic Sans MS" w:cs="Times New Roman"/>
          <w:sz w:val="24"/>
          <w:szCs w:val="24"/>
        </w:rPr>
      </w:pPr>
      <w:r>
        <w:rPr>
          <w:rFonts w:ascii="Comic Sans MS" w:eastAsia="Calibri" w:hAnsi="Comic Sans MS" w:cs="Times New Roman"/>
          <w:sz w:val="24"/>
          <w:szCs w:val="24"/>
        </w:rPr>
        <w:t xml:space="preserve">Continue to gather </w:t>
      </w:r>
      <w:r>
        <w:rPr>
          <w:rFonts w:ascii="Comic Sans MS" w:eastAsia="Calibri" w:hAnsi="Comic Sans MS" w:cs="Times New Roman"/>
          <w:sz w:val="24"/>
          <w:szCs w:val="24"/>
        </w:rPr>
        <w:t>feedback</w:t>
      </w:r>
      <w:r w:rsidRPr="00C65646">
        <w:rPr>
          <w:rFonts w:ascii="Comic Sans MS" w:eastAsia="Calibri" w:hAnsi="Comic Sans MS" w:cs="Times New Roman"/>
          <w:sz w:val="24"/>
          <w:szCs w:val="24"/>
        </w:rPr>
        <w:t xml:space="preserve"> </w:t>
      </w:r>
      <w:r>
        <w:rPr>
          <w:rFonts w:ascii="Comic Sans MS" w:eastAsia="Calibri" w:hAnsi="Comic Sans MS" w:cs="Times New Roman"/>
          <w:sz w:val="24"/>
          <w:szCs w:val="24"/>
        </w:rPr>
        <w:t xml:space="preserve">from </w:t>
      </w:r>
      <w:r w:rsidR="00C65646" w:rsidRPr="00C65646">
        <w:rPr>
          <w:rFonts w:ascii="Comic Sans MS" w:eastAsia="Calibri" w:hAnsi="Comic Sans MS" w:cs="Times New Roman"/>
          <w:sz w:val="24"/>
          <w:szCs w:val="24"/>
        </w:rPr>
        <w:t xml:space="preserve">patients / customers with a learning disability and / or their </w:t>
      </w:r>
      <w:proofErr w:type="spellStart"/>
      <w:r w:rsidR="00C65646" w:rsidRPr="00C65646">
        <w:rPr>
          <w:rFonts w:ascii="Comic Sans MS" w:eastAsia="Calibri" w:hAnsi="Comic Sans MS" w:cs="Times New Roman"/>
          <w:sz w:val="24"/>
          <w:szCs w:val="24"/>
        </w:rPr>
        <w:t>carers</w:t>
      </w:r>
      <w:proofErr w:type="spellEnd"/>
      <w:r>
        <w:rPr>
          <w:rFonts w:ascii="Comic Sans MS" w:eastAsia="Calibri" w:hAnsi="Comic Sans MS" w:cs="Times New Roman"/>
          <w:sz w:val="24"/>
          <w:szCs w:val="24"/>
        </w:rPr>
        <w:t xml:space="preserve">. Feedback forms and pre-stamped return envelopes will be provided by the purple star team. </w:t>
      </w:r>
    </w:p>
    <w:p w:rsidR="00C65646" w:rsidRP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Accept that they may receive a </w:t>
      </w:r>
      <w:r w:rsidR="00515381">
        <w:rPr>
          <w:rFonts w:ascii="Comic Sans MS" w:eastAsia="Calibri" w:hAnsi="Comic Sans MS" w:cs="Times New Roman"/>
          <w:sz w:val="24"/>
          <w:szCs w:val="24"/>
        </w:rPr>
        <w:t>telephone call</w:t>
      </w:r>
      <w:r w:rsidRPr="00C65646">
        <w:rPr>
          <w:rFonts w:ascii="Comic Sans MS" w:eastAsia="Calibri" w:hAnsi="Comic Sans MS" w:cs="Times New Roman"/>
          <w:sz w:val="24"/>
          <w:szCs w:val="24"/>
        </w:rPr>
        <w:t xml:space="preserve"> from a secret </w:t>
      </w:r>
      <w:proofErr w:type="spellStart"/>
      <w:r w:rsidRPr="00C65646">
        <w:rPr>
          <w:rFonts w:ascii="Comic Sans MS" w:eastAsia="Calibri" w:hAnsi="Comic Sans MS" w:cs="Times New Roman"/>
          <w:sz w:val="24"/>
          <w:szCs w:val="24"/>
        </w:rPr>
        <w:t>scoper</w:t>
      </w:r>
      <w:proofErr w:type="spellEnd"/>
      <w:r w:rsidRPr="00C65646">
        <w:rPr>
          <w:rFonts w:ascii="Comic Sans MS" w:eastAsia="Calibri" w:hAnsi="Comic Sans MS" w:cs="Times New Roman"/>
          <w:sz w:val="24"/>
          <w:szCs w:val="24"/>
        </w:rPr>
        <w:t xml:space="preserve"> to </w:t>
      </w:r>
      <w:r w:rsidR="00515381" w:rsidRPr="00C65646">
        <w:rPr>
          <w:rFonts w:ascii="Comic Sans MS" w:eastAsia="Calibri" w:hAnsi="Comic Sans MS" w:cs="Times New Roman"/>
          <w:sz w:val="24"/>
          <w:szCs w:val="24"/>
        </w:rPr>
        <w:t>individually assess</w:t>
      </w:r>
      <w:r w:rsidRPr="00C65646">
        <w:rPr>
          <w:rFonts w:ascii="Comic Sans MS" w:eastAsia="Calibri" w:hAnsi="Comic Sans MS" w:cs="Times New Roman"/>
          <w:sz w:val="24"/>
          <w:szCs w:val="24"/>
        </w:rPr>
        <w:t xml:space="preserve"> their attitude and approach to ad</w:t>
      </w:r>
      <w:r w:rsidR="00515381">
        <w:rPr>
          <w:rFonts w:ascii="Comic Sans MS" w:eastAsia="Calibri" w:hAnsi="Comic Sans MS" w:cs="Times New Roman"/>
          <w:sz w:val="24"/>
          <w:szCs w:val="24"/>
        </w:rPr>
        <w:t>ults with a learning disability.</w:t>
      </w:r>
    </w:p>
    <w:p w:rsidR="00C65646" w:rsidRDefault="00C65646" w:rsidP="00C65646">
      <w:pPr>
        <w:numPr>
          <w:ilvl w:val="0"/>
          <w:numId w:val="4"/>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lastRenderedPageBreak/>
        <w:t xml:space="preserve">Accept that they will be monitored by their link nurse who will visit at least twice </w:t>
      </w:r>
      <w:r w:rsidR="00800807">
        <w:rPr>
          <w:rFonts w:ascii="Comic Sans MS" w:eastAsia="Calibri" w:hAnsi="Comic Sans MS" w:cs="Times New Roman"/>
          <w:sz w:val="24"/>
          <w:szCs w:val="24"/>
        </w:rPr>
        <w:t xml:space="preserve">a year. </w:t>
      </w:r>
      <w:r w:rsidRPr="00C65646">
        <w:rPr>
          <w:rFonts w:ascii="Comic Sans MS" w:eastAsia="Calibri" w:hAnsi="Comic Sans MS" w:cs="Times New Roman"/>
          <w:sz w:val="24"/>
          <w:szCs w:val="24"/>
        </w:rPr>
        <w:t xml:space="preserve">Accept that local care providers who may use their service will be asked to provide feedback on the service they receive </w:t>
      </w:r>
    </w:p>
    <w:p w:rsidR="00515381" w:rsidRPr="00515381" w:rsidRDefault="00515381" w:rsidP="00515381">
      <w:pPr>
        <w:spacing w:after="0" w:line="240" w:lineRule="auto"/>
        <w:ind w:left="720"/>
        <w:contextualSpacing/>
        <w:rPr>
          <w:rFonts w:ascii="Comic Sans MS" w:eastAsia="Calibri" w:hAnsi="Comic Sans MS" w:cs="Times New Roman"/>
          <w:sz w:val="24"/>
          <w:szCs w:val="24"/>
        </w:rPr>
      </w:pP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b/>
          <w:sz w:val="24"/>
          <w:szCs w:val="24"/>
        </w:rPr>
        <w:t>7. Re-accreditation</w:t>
      </w:r>
      <w:r w:rsidRPr="00C65646">
        <w:rPr>
          <w:rFonts w:ascii="Comic Sans MS" w:eastAsia="Calibri" w:hAnsi="Comic Sans MS" w:cs="Times New Roman"/>
          <w:sz w:val="24"/>
          <w:szCs w:val="24"/>
        </w:rPr>
        <w:t xml:space="preserve"> –</w:t>
      </w:r>
    </w:p>
    <w:p w:rsidR="00C65646" w:rsidRPr="00C65646" w:rsidRDefault="00515381" w:rsidP="00C65646">
      <w:pPr>
        <w:rPr>
          <w:rFonts w:ascii="Comic Sans MS" w:eastAsia="Calibri" w:hAnsi="Comic Sans MS" w:cs="Times New Roman"/>
          <w:sz w:val="24"/>
          <w:szCs w:val="24"/>
        </w:rPr>
      </w:pPr>
      <w:r>
        <w:rPr>
          <w:rFonts w:ascii="Comic Sans MS" w:eastAsia="Calibri" w:hAnsi="Comic Sans MS" w:cs="Times New Roman"/>
          <w:sz w:val="24"/>
          <w:szCs w:val="24"/>
        </w:rPr>
        <w:t>After one year post-accreditation a</w:t>
      </w:r>
      <w:r w:rsidR="00C65646" w:rsidRPr="00C65646">
        <w:rPr>
          <w:rFonts w:ascii="Comic Sans MS" w:eastAsia="Calibri" w:hAnsi="Comic Sans MS" w:cs="Times New Roman"/>
          <w:sz w:val="24"/>
          <w:szCs w:val="24"/>
        </w:rPr>
        <w:t xml:space="preserve">ll of the above will be fed to the steering committee for consideration for </w:t>
      </w:r>
      <w:r>
        <w:rPr>
          <w:rFonts w:ascii="Comic Sans MS" w:eastAsia="Calibri" w:hAnsi="Comic Sans MS" w:cs="Times New Roman"/>
          <w:sz w:val="24"/>
          <w:szCs w:val="24"/>
        </w:rPr>
        <w:t xml:space="preserve">a </w:t>
      </w:r>
      <w:r w:rsidR="00C65646" w:rsidRPr="00C65646">
        <w:rPr>
          <w:rFonts w:ascii="Comic Sans MS" w:eastAsia="Calibri" w:hAnsi="Comic Sans MS" w:cs="Times New Roman"/>
          <w:sz w:val="24"/>
          <w:szCs w:val="24"/>
        </w:rPr>
        <w:t>reaccreditation</w:t>
      </w:r>
      <w:r>
        <w:rPr>
          <w:rFonts w:ascii="Comic Sans MS" w:eastAsia="Calibri" w:hAnsi="Comic Sans MS" w:cs="Times New Roman"/>
          <w:sz w:val="24"/>
          <w:szCs w:val="24"/>
        </w:rPr>
        <w:t xml:space="preserve">. Following the first year of reaccreditation, </w:t>
      </w:r>
      <w:r>
        <w:rPr>
          <w:rFonts w:ascii="Comic Sans MS" w:eastAsia="Calibri" w:hAnsi="Comic Sans MS" w:cs="Times New Roman"/>
          <w:sz w:val="24"/>
          <w:szCs w:val="24"/>
        </w:rPr>
        <w:t>accreditation</w:t>
      </w:r>
      <w:r>
        <w:rPr>
          <w:rFonts w:ascii="Comic Sans MS" w:eastAsia="Calibri" w:hAnsi="Comic Sans MS" w:cs="Times New Roman"/>
          <w:sz w:val="24"/>
          <w:szCs w:val="24"/>
        </w:rPr>
        <w:t xml:space="preserve"> will be on a bi-annual basis. </w:t>
      </w:r>
      <w:r w:rsidR="00C65646" w:rsidRPr="00C65646">
        <w:rPr>
          <w:rFonts w:ascii="Comic Sans MS" w:eastAsia="Calibri" w:hAnsi="Comic Sans MS" w:cs="Times New Roman"/>
          <w:sz w:val="24"/>
          <w:szCs w:val="24"/>
        </w:rPr>
        <w:t>Failure to maint</w:t>
      </w:r>
      <w:r w:rsidR="00800807">
        <w:rPr>
          <w:rFonts w:ascii="Comic Sans MS" w:eastAsia="Calibri" w:hAnsi="Comic Sans MS" w:cs="Times New Roman"/>
          <w:sz w:val="24"/>
          <w:szCs w:val="24"/>
        </w:rPr>
        <w:t xml:space="preserve">ain the accredited standard or provide </w:t>
      </w:r>
      <w:r w:rsidR="00C65646" w:rsidRPr="00C65646">
        <w:rPr>
          <w:rFonts w:ascii="Comic Sans MS" w:eastAsia="Calibri" w:hAnsi="Comic Sans MS" w:cs="Times New Roman"/>
          <w:sz w:val="24"/>
          <w:szCs w:val="24"/>
        </w:rPr>
        <w:t xml:space="preserve">evidence may result in not being reaccredited. </w:t>
      </w:r>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The Purple Star remains the property of Herts County Council and therefore can be removed at any point.</w:t>
      </w:r>
    </w:p>
    <w:p w:rsidR="00C65646" w:rsidRPr="00C65646" w:rsidRDefault="00C65646" w:rsidP="00C65646">
      <w:pPr>
        <w:rPr>
          <w:rFonts w:ascii="Comic Sans MS" w:eastAsia="Calibri" w:hAnsi="Comic Sans MS" w:cs="Times New Roman"/>
          <w:b/>
          <w:sz w:val="24"/>
          <w:szCs w:val="24"/>
        </w:rPr>
      </w:pPr>
      <w:r w:rsidRPr="00C65646">
        <w:rPr>
          <w:rFonts w:ascii="Comic Sans MS" w:eastAsia="Calibri" w:hAnsi="Comic Sans MS" w:cs="Times New Roman"/>
          <w:b/>
          <w:sz w:val="24"/>
          <w:szCs w:val="24"/>
        </w:rPr>
        <w:t xml:space="preserve">Management of non-compliance </w:t>
      </w:r>
    </w:p>
    <w:p w:rsidR="00C65646" w:rsidRPr="00C65646" w:rsidRDefault="00800807" w:rsidP="00C65646">
      <w:pPr>
        <w:numPr>
          <w:ilvl w:val="0"/>
          <w:numId w:val="5"/>
        </w:numPr>
        <w:spacing w:after="0" w:line="240" w:lineRule="auto"/>
        <w:contextualSpacing/>
        <w:rPr>
          <w:rFonts w:ascii="Comic Sans MS" w:eastAsia="Calibri" w:hAnsi="Comic Sans MS" w:cs="Times New Roman"/>
          <w:sz w:val="24"/>
          <w:szCs w:val="24"/>
        </w:rPr>
      </w:pPr>
      <w:r>
        <w:rPr>
          <w:rFonts w:ascii="Comic Sans MS" w:eastAsia="Calibri" w:hAnsi="Comic Sans MS" w:cs="Times New Roman"/>
          <w:sz w:val="24"/>
          <w:szCs w:val="24"/>
        </w:rPr>
        <w:t>If t</w:t>
      </w:r>
      <w:r w:rsidR="00C65646" w:rsidRPr="00C65646">
        <w:rPr>
          <w:rFonts w:ascii="Comic Sans MS" w:eastAsia="Calibri" w:hAnsi="Comic Sans MS" w:cs="Times New Roman"/>
          <w:sz w:val="24"/>
          <w:szCs w:val="24"/>
        </w:rPr>
        <w:t>here are non-compliance concerns then the services link nurse will work with them to draw up a remedial action plan to support service improvement.</w:t>
      </w:r>
    </w:p>
    <w:p w:rsidR="00C65646" w:rsidRPr="00C65646" w:rsidRDefault="00C65646" w:rsidP="00C65646">
      <w:pPr>
        <w:numPr>
          <w:ilvl w:val="0"/>
          <w:numId w:val="5"/>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If there is no improvement within the agreed timeframe then this would be reported to the Steering Committee and the Purple Star may be suspended until improvements are evident.</w:t>
      </w:r>
    </w:p>
    <w:p w:rsidR="00C65646" w:rsidRPr="00C65646" w:rsidRDefault="00C65646" w:rsidP="00C65646">
      <w:pPr>
        <w:numPr>
          <w:ilvl w:val="0"/>
          <w:numId w:val="5"/>
        </w:numPr>
        <w:spacing w:after="0" w:line="240" w:lineRule="auto"/>
        <w:contextualSpacing/>
        <w:rPr>
          <w:rFonts w:ascii="Comic Sans MS" w:eastAsia="Calibri" w:hAnsi="Comic Sans MS" w:cs="Times New Roman"/>
          <w:sz w:val="24"/>
          <w:szCs w:val="24"/>
        </w:rPr>
      </w:pPr>
      <w:r w:rsidRPr="00C65646">
        <w:rPr>
          <w:rFonts w:ascii="Comic Sans MS" w:eastAsia="Calibri" w:hAnsi="Comic Sans MS" w:cs="Times New Roman"/>
          <w:sz w:val="24"/>
          <w:szCs w:val="24"/>
        </w:rPr>
        <w:t>If there are any significant incidents / safeguarding concerns indicating that an accredited service does not offer a service of excellence then the Steering committ</w:t>
      </w:r>
      <w:r w:rsidR="00800807">
        <w:rPr>
          <w:rFonts w:ascii="Comic Sans MS" w:eastAsia="Calibri" w:hAnsi="Comic Sans MS" w:cs="Times New Roman"/>
          <w:sz w:val="24"/>
          <w:szCs w:val="24"/>
        </w:rPr>
        <w:t>ee may suspend or even withdraw</w:t>
      </w:r>
      <w:r w:rsidRPr="00C65646">
        <w:rPr>
          <w:rFonts w:ascii="Comic Sans MS" w:eastAsia="Calibri" w:hAnsi="Comic Sans MS" w:cs="Times New Roman"/>
          <w:sz w:val="24"/>
          <w:szCs w:val="24"/>
        </w:rPr>
        <w:t xml:space="preserve"> the purple star. This process will be transparent and collaborative and will always aim to support the service to achieve the accreditation standard. </w:t>
      </w:r>
      <w:bookmarkStart w:id="0" w:name="_GoBack"/>
      <w:bookmarkEnd w:id="0"/>
    </w:p>
    <w:p w:rsidR="00C65646" w:rsidRPr="00C65646" w:rsidRDefault="00C65646" w:rsidP="00C65646">
      <w:pPr>
        <w:rPr>
          <w:rFonts w:ascii="Comic Sans MS" w:eastAsia="Calibri" w:hAnsi="Comic Sans MS" w:cs="Times New Roman"/>
          <w:sz w:val="24"/>
          <w:szCs w:val="24"/>
        </w:rPr>
      </w:pPr>
      <w:r w:rsidRPr="00C65646">
        <w:rPr>
          <w:rFonts w:ascii="Comic Sans MS" w:eastAsia="Calibri" w:hAnsi="Comic Sans MS" w:cs="Times New Roman"/>
          <w:sz w:val="24"/>
          <w:szCs w:val="24"/>
        </w:rPr>
        <w:t xml:space="preserve">  </w:t>
      </w:r>
    </w:p>
    <w:p w:rsidR="00C65646" w:rsidRPr="00C65646" w:rsidRDefault="00C65646" w:rsidP="00C65646">
      <w:pPr>
        <w:spacing w:after="0" w:line="240" w:lineRule="auto"/>
        <w:rPr>
          <w:rFonts w:ascii="Times New Roman" w:eastAsia="Calibri" w:hAnsi="Times New Roman" w:cs="Times New Roman"/>
          <w:sz w:val="24"/>
          <w:szCs w:val="24"/>
        </w:rPr>
        <w:sectPr w:rsidR="00C65646" w:rsidRPr="00C65646" w:rsidSect="00FA107F">
          <w:pgSz w:w="11906" w:h="16838"/>
          <w:pgMar w:top="720" w:right="720" w:bottom="720" w:left="720" w:header="708" w:footer="708" w:gutter="0"/>
          <w:cols w:space="708"/>
          <w:docGrid w:linePitch="360"/>
        </w:sectPr>
      </w:pPr>
    </w:p>
    <w:p w:rsidR="00C65646" w:rsidRDefault="00C65646" w:rsidP="00C65646">
      <w:pPr>
        <w:jc w:val="center"/>
        <w:rPr>
          <w:rFonts w:ascii="Comic Sans MS" w:eastAsia="Calibri" w:hAnsi="Comic Sans MS" w:cs="Times New Roman"/>
          <w:sz w:val="28"/>
          <w:szCs w:val="24"/>
          <w:u w:val="single"/>
        </w:rPr>
      </w:pPr>
    </w:p>
    <w:p w:rsidR="00C65646" w:rsidRPr="00C65646" w:rsidRDefault="00C65646" w:rsidP="00C65646">
      <w:pPr>
        <w:jc w:val="center"/>
        <w:rPr>
          <w:rFonts w:ascii="Comic Sans MS" w:eastAsia="Calibri" w:hAnsi="Comic Sans MS" w:cs="Times New Roman"/>
          <w:sz w:val="28"/>
          <w:szCs w:val="24"/>
          <w:u w:val="single"/>
        </w:rPr>
      </w:pPr>
      <w:r w:rsidRPr="00C65646">
        <w:rPr>
          <w:rFonts w:ascii="Comic Sans MS" w:eastAsia="Calibri" w:hAnsi="Comic Sans MS" w:cs="Times New Roman"/>
          <w:sz w:val="28"/>
          <w:szCs w:val="24"/>
          <w:u w:val="single"/>
        </w:rPr>
        <w:t>Your Steps Towards the Purple Star</w:t>
      </w:r>
    </w:p>
    <w:tbl>
      <w:tblPr>
        <w:tblW w:w="0" w:type="auto"/>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660"/>
        <w:gridCol w:w="607"/>
        <w:gridCol w:w="969"/>
        <w:gridCol w:w="1006"/>
        <w:gridCol w:w="841"/>
        <w:gridCol w:w="1209"/>
        <w:gridCol w:w="993"/>
        <w:gridCol w:w="721"/>
        <w:gridCol w:w="2236"/>
      </w:tblGrid>
      <w:tr w:rsidR="00C65646" w:rsidRPr="00C65646" w:rsidTr="002C0A29">
        <w:trPr>
          <w:trHeight w:val="734"/>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992"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171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179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1460"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219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r>
              <w:rPr>
                <w:rFonts w:ascii="Calibri" w:eastAsia="Calibri" w:hAnsi="Calibri" w:cs="Times New Roman"/>
                <w:b/>
                <w:bCs/>
                <w:noProof/>
                <w:lang w:eastAsia="en-GB"/>
              </w:rPr>
              <w:drawing>
                <wp:anchor distT="0" distB="0" distL="114300" distR="114300" simplePos="0" relativeHeight="251660288" behindDoc="0" locked="0" layoutInCell="1" allowOverlap="1" wp14:anchorId="58466977" wp14:editId="2048E4B5">
                  <wp:simplePos x="0" y="0"/>
                  <wp:positionH relativeFrom="column">
                    <wp:posOffset>337820</wp:posOffset>
                  </wp:positionH>
                  <wp:positionV relativeFrom="paragraph">
                    <wp:posOffset>443813</wp:posOffset>
                  </wp:positionV>
                  <wp:extent cx="648335" cy="595630"/>
                  <wp:effectExtent l="0" t="0" r="0" b="0"/>
                  <wp:wrapNone/>
                  <wp:docPr id="2" name="Picture 2" descr="S:\STEVENAGE\ACS\LDMH CLDT\CLDT\ALL\Health Liaison Team\Purple Star Strategy Project\eQUALITY_logo_Star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EVENAGE\ACS\LDMH CLDT\CLDT\ALL\Health Liaison Team\Purple Star Strategy Project\eQUALITY_logo_Star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65"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1220"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3174" w:type="dxa"/>
            <w:tcBorders>
              <w:left w:val="nil"/>
            </w:tcBorders>
            <w:shd w:val="clear" w:color="auto" w:fill="DFD8E8"/>
          </w:tcPr>
          <w:p w:rsidR="00C65646" w:rsidRPr="00C65646" w:rsidRDefault="00C65646" w:rsidP="00C65646">
            <w:pPr>
              <w:rPr>
                <w:rFonts w:ascii="Comic Sans MS" w:eastAsia="Calibri" w:hAnsi="Comic Sans MS" w:cs="Times New Roman"/>
                <w:b/>
                <w:bCs/>
              </w:rPr>
            </w:pPr>
            <w:r w:rsidRPr="00C65646">
              <w:rPr>
                <w:rFonts w:ascii="Comic Sans MS" w:eastAsia="Calibri" w:hAnsi="Comic Sans MS" w:cs="Times New Roman"/>
                <w:b/>
                <w:bCs/>
              </w:rPr>
              <w:t>Ongoing monitoring &amp; annual reviews</w:t>
            </w:r>
          </w:p>
        </w:tc>
      </w:tr>
      <w:tr w:rsidR="00C65646" w:rsidRPr="00C65646" w:rsidTr="002C0A29">
        <w:trPr>
          <w:trHeight w:val="885"/>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992"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r>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396240</wp:posOffset>
                      </wp:positionV>
                      <wp:extent cx="1701165" cy="1882140"/>
                      <wp:effectExtent l="0" t="0" r="0" b="38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882140"/>
                              </a:xfrm>
                              <a:prstGeom prst="rect">
                                <a:avLst/>
                              </a:prstGeom>
                              <a:noFill/>
                              <a:ln w="9525">
                                <a:noFill/>
                                <a:miter lim="800000"/>
                                <a:headEnd/>
                                <a:tailEnd/>
                              </a:ln>
                            </wps:spPr>
                            <wps:txbx>
                              <w:txbxContent>
                                <w:p w:rsidR="00C65646" w:rsidRDefault="00C65646" w:rsidP="00C65646">
                                  <w:r>
                                    <w:rPr>
                                      <w:noProof/>
                                      <w:color w:val="0000FF"/>
                                      <w:lang w:eastAsia="en-GB"/>
                                    </w:rPr>
                                    <w:drawing>
                                      <wp:inline distT="0" distB="0" distL="0" distR="0" wp14:anchorId="02AD1CC1" wp14:editId="4634C5E5">
                                        <wp:extent cx="1504950" cy="1704975"/>
                                        <wp:effectExtent l="0" t="0" r="0" b="9525"/>
                                        <wp:docPr id="1" name="Picture 1" descr="Image result for Purple stick m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urple stick ma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704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6.9pt;margin-top:31.2pt;width:133.95pt;height:1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" filled="f" stroked="f">
                      <v:textbox>
                        <w:txbxContent>
                          <w:p w:rsidR="00C65646" w:rsidRDefault="00C65646" w:rsidP="00C65646">
                            <w:r>
                              <w:rPr>
                                <w:noProof/>
                                <w:color w:val="0000FF"/>
                                <w:lang w:eastAsia="en-GB"/>
                              </w:rPr>
                              <w:drawing>
                                <wp:inline distT="0" distB="0" distL="0" distR="0" wp14:anchorId="02AD1CC1" wp14:editId="4634C5E5">
                                  <wp:extent cx="1504950" cy="1704975"/>
                                  <wp:effectExtent l="0" t="0" r="0" b="9525"/>
                                  <wp:docPr id="1" name="Picture 1" descr="Image result for Purple stick m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urple stick ma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704975"/>
                                          </a:xfrm>
                                          <a:prstGeom prst="rect">
                                            <a:avLst/>
                                          </a:prstGeom>
                                          <a:noFill/>
                                          <a:ln>
                                            <a:noFill/>
                                          </a:ln>
                                        </pic:spPr>
                                      </pic:pic>
                                    </a:graphicData>
                                  </a:graphic>
                                </wp:inline>
                              </w:drawing>
                            </w:r>
                          </w:p>
                        </w:txbxContent>
                      </v:textbox>
                    </v:shape>
                  </w:pict>
                </mc:Fallback>
              </mc:AlternateContent>
            </w:r>
          </w:p>
        </w:tc>
        <w:tc>
          <w:tcPr>
            <w:tcW w:w="171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9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460"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219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65"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4394" w:type="dxa"/>
            <w:gridSpan w:val="2"/>
            <w:tcBorders>
              <w:left w:val="nil"/>
            </w:tcBorders>
            <w:shd w:val="clear" w:color="auto" w:fill="BFB1D0"/>
          </w:tcPr>
          <w:p w:rsidR="00C65646" w:rsidRPr="00C65646" w:rsidRDefault="00C65646" w:rsidP="00C65646">
            <w:pPr>
              <w:rPr>
                <w:rFonts w:ascii="Comic Sans MS" w:eastAsia="Calibri" w:hAnsi="Comic Sans MS" w:cs="Times New Roman"/>
              </w:rPr>
            </w:pPr>
            <w:r w:rsidRPr="00C65646">
              <w:rPr>
                <w:rFonts w:ascii="Comic Sans MS" w:eastAsia="Calibri" w:hAnsi="Comic Sans MS" w:cs="Times New Roman"/>
              </w:rPr>
              <w:t xml:space="preserve">Awarding the Purple Star </w:t>
            </w:r>
          </w:p>
        </w:tc>
      </w:tr>
      <w:tr w:rsidR="00C65646" w:rsidRPr="00C65646" w:rsidTr="002C0A29">
        <w:trPr>
          <w:trHeight w:val="734"/>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992"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1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9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460"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219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6159" w:type="dxa"/>
            <w:gridSpan w:val="3"/>
            <w:tcBorders>
              <w:left w:val="nil"/>
            </w:tcBorders>
            <w:shd w:val="clear" w:color="auto" w:fill="DFD8E8"/>
          </w:tcPr>
          <w:p w:rsidR="00C65646" w:rsidRPr="00C65646" w:rsidRDefault="00C65646" w:rsidP="00C65646">
            <w:pPr>
              <w:rPr>
                <w:rFonts w:ascii="Comic Sans MS" w:eastAsia="Calibri" w:hAnsi="Comic Sans MS" w:cs="Times New Roman"/>
              </w:rPr>
            </w:pPr>
            <w:r w:rsidRPr="00C65646">
              <w:rPr>
                <w:rFonts w:ascii="Comic Sans MS" w:eastAsia="Calibri" w:hAnsi="Comic Sans MS" w:cs="Times New Roman"/>
              </w:rPr>
              <w:t>Assessing Accreditation Standard and reporting to Steering Committee</w:t>
            </w:r>
          </w:p>
        </w:tc>
      </w:tr>
      <w:tr w:rsidR="00C65646" w:rsidRPr="00C65646" w:rsidTr="002C0A29">
        <w:trPr>
          <w:trHeight w:val="734"/>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992"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1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9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460"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8356" w:type="dxa"/>
            <w:gridSpan w:val="4"/>
            <w:tcBorders>
              <w:left w:val="nil"/>
            </w:tcBorders>
            <w:shd w:val="clear" w:color="auto" w:fill="BFB1D0"/>
          </w:tcPr>
          <w:p w:rsidR="00C65646" w:rsidRPr="00C65646" w:rsidRDefault="00C65646" w:rsidP="00C65646">
            <w:pPr>
              <w:rPr>
                <w:rFonts w:ascii="Comic Sans MS" w:eastAsia="Calibri" w:hAnsi="Comic Sans MS" w:cs="Times New Roman"/>
              </w:rPr>
            </w:pPr>
            <w:r w:rsidRPr="00C65646">
              <w:rPr>
                <w:rFonts w:ascii="Comic Sans MS" w:eastAsia="Calibri" w:hAnsi="Comic Sans MS" w:cs="Times New Roman"/>
              </w:rPr>
              <w:t xml:space="preserve">Training the Staff Team </w:t>
            </w:r>
          </w:p>
        </w:tc>
      </w:tr>
      <w:tr w:rsidR="00C65646" w:rsidRPr="00C65646" w:rsidTr="002C0A29">
        <w:trPr>
          <w:trHeight w:val="734"/>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992"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1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9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9816" w:type="dxa"/>
            <w:gridSpan w:val="5"/>
            <w:tcBorders>
              <w:left w:val="nil"/>
            </w:tcBorders>
            <w:shd w:val="clear" w:color="auto" w:fill="DFD8E8"/>
          </w:tcPr>
          <w:p w:rsidR="00C65646" w:rsidRPr="00C65646" w:rsidRDefault="00C65646" w:rsidP="00C65646">
            <w:pPr>
              <w:rPr>
                <w:rFonts w:ascii="Comic Sans MS" w:eastAsia="Calibri" w:hAnsi="Comic Sans MS" w:cs="Times New Roman"/>
              </w:rPr>
            </w:pPr>
            <w:r w:rsidRPr="00C65646">
              <w:rPr>
                <w:rFonts w:ascii="Comic Sans MS" w:eastAsia="Calibri" w:hAnsi="Comic Sans MS" w:cs="Times New Roman"/>
              </w:rPr>
              <w:t xml:space="preserve">Building up the evidence in the recording logs </w:t>
            </w:r>
          </w:p>
        </w:tc>
      </w:tr>
      <w:tr w:rsidR="00C65646" w:rsidRPr="00C65646" w:rsidTr="002C0A29">
        <w:trPr>
          <w:trHeight w:val="734"/>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992"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717"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1607" w:type="dxa"/>
            <w:gridSpan w:val="6"/>
            <w:tcBorders>
              <w:left w:val="nil"/>
            </w:tcBorders>
            <w:shd w:val="clear" w:color="auto" w:fill="BFB1D0"/>
          </w:tcPr>
          <w:p w:rsidR="00C65646" w:rsidRPr="00C65646" w:rsidRDefault="00C65646" w:rsidP="00C65646">
            <w:pPr>
              <w:rPr>
                <w:rFonts w:ascii="Comic Sans MS" w:eastAsia="Calibri" w:hAnsi="Comic Sans MS" w:cs="Times New Roman"/>
              </w:rPr>
            </w:pPr>
            <w:r w:rsidRPr="00C65646">
              <w:rPr>
                <w:rFonts w:ascii="Comic Sans MS" w:eastAsia="Calibri" w:hAnsi="Comic Sans MS" w:cs="Times New Roman"/>
              </w:rPr>
              <w:t>Developing an Action Plan and working towards accreditation as a service</w:t>
            </w:r>
          </w:p>
        </w:tc>
      </w:tr>
      <w:tr w:rsidR="00C65646" w:rsidRPr="00C65646" w:rsidTr="002C0A29">
        <w:trPr>
          <w:trHeight w:val="734"/>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992"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rPr>
            </w:pPr>
          </w:p>
        </w:tc>
        <w:tc>
          <w:tcPr>
            <w:tcW w:w="13324" w:type="dxa"/>
            <w:gridSpan w:val="7"/>
            <w:tcBorders>
              <w:left w:val="nil"/>
            </w:tcBorders>
            <w:shd w:val="clear" w:color="auto" w:fill="DFD8E8"/>
          </w:tcPr>
          <w:p w:rsidR="00C65646" w:rsidRPr="00C65646" w:rsidRDefault="00C65646" w:rsidP="00C65646">
            <w:pPr>
              <w:rPr>
                <w:rFonts w:ascii="Comic Sans MS" w:eastAsia="Calibri" w:hAnsi="Comic Sans MS" w:cs="Times New Roman"/>
              </w:rPr>
            </w:pPr>
            <w:r w:rsidRPr="00C65646">
              <w:rPr>
                <w:rFonts w:ascii="Comic Sans MS" w:eastAsia="Calibri" w:hAnsi="Comic Sans MS" w:cs="Times New Roman"/>
              </w:rPr>
              <w:t>Initial meeting with</w:t>
            </w:r>
            <w:r w:rsidRPr="00C65646">
              <w:rPr>
                <w:rFonts w:ascii="Comic Sans MS" w:eastAsia="Calibri" w:hAnsi="Comic Sans MS" w:cs="Times New Roman"/>
                <w:color w:val="7030A0"/>
              </w:rPr>
              <w:t xml:space="preserve"> </w:t>
            </w:r>
            <w:r w:rsidRPr="00C65646">
              <w:rPr>
                <w:rFonts w:ascii="Comic Sans MS" w:eastAsia="Calibri" w:hAnsi="Comic Sans MS" w:cs="Times New Roman"/>
              </w:rPr>
              <w:t xml:space="preserve">the Purple Star Strategy Team – signing the agreement </w:t>
            </w:r>
            <w:r w:rsidRPr="00C65646">
              <w:rPr>
                <w:rFonts w:ascii="Comic Sans MS" w:eastAsia="Calibri" w:hAnsi="Comic Sans MS" w:cs="Times New Roman"/>
                <w:color w:val="7030A0"/>
              </w:rPr>
              <w:t xml:space="preserve"> </w:t>
            </w:r>
          </w:p>
        </w:tc>
      </w:tr>
      <w:tr w:rsidR="00C65646" w:rsidRPr="00C65646" w:rsidTr="002C0A29">
        <w:trPr>
          <w:trHeight w:val="734"/>
        </w:trPr>
        <w:tc>
          <w:tcPr>
            <w:tcW w:w="1101" w:type="dxa"/>
            <w:tcBorders>
              <w:top w:val="nil"/>
              <w:left w:val="nil"/>
              <w:bottom w:val="nil"/>
              <w:right w:val="nil"/>
            </w:tcBorders>
            <w:shd w:val="clear" w:color="auto" w:fill="auto"/>
          </w:tcPr>
          <w:p w:rsidR="00C65646" w:rsidRPr="00C65646" w:rsidRDefault="00C65646" w:rsidP="00C65646">
            <w:pPr>
              <w:rPr>
                <w:rFonts w:ascii="Calibri" w:eastAsia="Calibri" w:hAnsi="Calibri" w:cs="Times New Roman"/>
                <w:b/>
                <w:bCs/>
              </w:rPr>
            </w:pPr>
          </w:p>
        </w:tc>
        <w:tc>
          <w:tcPr>
            <w:tcW w:w="14316" w:type="dxa"/>
            <w:gridSpan w:val="8"/>
            <w:tcBorders>
              <w:left w:val="nil"/>
            </w:tcBorders>
            <w:shd w:val="clear" w:color="auto" w:fill="BFB1D0"/>
          </w:tcPr>
          <w:p w:rsidR="00C65646" w:rsidRPr="00C65646" w:rsidRDefault="00C65646" w:rsidP="00C65646">
            <w:pPr>
              <w:rPr>
                <w:rFonts w:ascii="Comic Sans MS" w:eastAsia="Calibri" w:hAnsi="Comic Sans MS" w:cs="Times New Roman"/>
              </w:rPr>
            </w:pPr>
            <w:r w:rsidRPr="00C65646">
              <w:rPr>
                <w:rFonts w:ascii="Comic Sans MS" w:eastAsia="Calibri" w:hAnsi="Comic Sans MS" w:cs="Times New Roman"/>
              </w:rPr>
              <w:t xml:space="preserve">Identifying your Learning Disability Champion and start considering what changes your service could make  </w:t>
            </w:r>
          </w:p>
        </w:tc>
      </w:tr>
      <w:tr w:rsidR="00C65646" w:rsidRPr="00C65646" w:rsidTr="002C0A29">
        <w:trPr>
          <w:trHeight w:val="734"/>
        </w:trPr>
        <w:tc>
          <w:tcPr>
            <w:tcW w:w="15417" w:type="dxa"/>
            <w:gridSpan w:val="9"/>
            <w:shd w:val="clear" w:color="auto" w:fill="DFD8E8"/>
          </w:tcPr>
          <w:p w:rsidR="00C65646" w:rsidRPr="00C65646" w:rsidRDefault="00C65646" w:rsidP="00C65646">
            <w:pPr>
              <w:rPr>
                <w:rFonts w:ascii="Comic Sans MS" w:eastAsia="Calibri" w:hAnsi="Comic Sans MS" w:cs="Times New Roman"/>
                <w:b/>
                <w:bCs/>
              </w:rPr>
            </w:pPr>
            <w:r w:rsidRPr="00C65646">
              <w:rPr>
                <w:rFonts w:ascii="Comic Sans MS" w:eastAsia="Calibri" w:hAnsi="Comic Sans MS" w:cs="Times New Roman"/>
                <w:b/>
                <w:bCs/>
              </w:rPr>
              <w:t>Completing the Application and self-evaluation forms</w:t>
            </w:r>
          </w:p>
        </w:tc>
      </w:tr>
    </w:tbl>
    <w:p w:rsidR="00C65646" w:rsidRPr="00C65646" w:rsidRDefault="00C65646" w:rsidP="00C65646">
      <w:pPr>
        <w:rPr>
          <w:rFonts w:ascii="Calibri" w:eastAsia="Calibri" w:hAnsi="Calibri" w:cs="Times New Roman"/>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b/>
          <w:sz w:val="24"/>
          <w:u w:val="single"/>
        </w:rPr>
      </w:pPr>
    </w:p>
    <w:p w:rsidR="00662450" w:rsidRDefault="00662450" w:rsidP="00662450">
      <w:pPr>
        <w:tabs>
          <w:tab w:val="left" w:pos="3990"/>
        </w:tabs>
        <w:rPr>
          <w:rFonts w:ascii="Arial" w:hAnsi="Arial" w:cs="Arial"/>
          <w:sz w:val="24"/>
        </w:rPr>
      </w:pPr>
      <w:r w:rsidRPr="006D017B">
        <w:rPr>
          <w:rFonts w:ascii="Arial" w:hAnsi="Arial" w:cs="Arial"/>
          <w:noProof/>
          <w:sz w:val="24"/>
          <w:lang w:eastAsia="en-GB"/>
        </w:rPr>
        <w:lastRenderedPageBreak/>
        <w:drawing>
          <wp:anchor distT="0" distB="0" distL="114300" distR="114300" simplePos="0" relativeHeight="251663360" behindDoc="1" locked="0" layoutInCell="1" allowOverlap="1" wp14:anchorId="4CC16C9B" wp14:editId="33705432">
            <wp:simplePos x="0" y="0"/>
            <wp:positionH relativeFrom="column">
              <wp:posOffset>-623570</wp:posOffset>
            </wp:positionH>
            <wp:positionV relativeFrom="paragraph">
              <wp:posOffset>-14605</wp:posOffset>
            </wp:positionV>
            <wp:extent cx="1238250" cy="440055"/>
            <wp:effectExtent l="0" t="0" r="0" b="0"/>
            <wp:wrapTight wrapText="bothSides">
              <wp:wrapPolygon edited="0">
                <wp:start x="0" y="0"/>
                <wp:lineTo x="0" y="20571"/>
                <wp:lineTo x="21268" y="20571"/>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Y_logo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0" cy="4400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 Examples of How the Purple Star Steering Committee would Like Anecdotal Evidence of Reasonable adjustments Made </w:t>
      </w:r>
    </w:p>
    <w:p w:rsidR="00662450" w:rsidRDefault="00662450" w:rsidP="00662450">
      <w:pPr>
        <w:tabs>
          <w:tab w:val="left" w:pos="3990"/>
        </w:tabs>
        <w:rPr>
          <w:rFonts w:ascii="Arial" w:hAnsi="Arial" w:cs="Arial"/>
          <w:sz w:val="24"/>
        </w:rPr>
      </w:pPr>
    </w:p>
    <w:p w:rsidR="00662450" w:rsidRDefault="00662450" w:rsidP="00662450">
      <w:pPr>
        <w:tabs>
          <w:tab w:val="left" w:pos="3990"/>
        </w:tabs>
        <w:rPr>
          <w:rFonts w:ascii="Arial" w:hAnsi="Arial" w:cs="Arial"/>
          <w:sz w:val="24"/>
        </w:rPr>
      </w:pPr>
      <w:r>
        <w:rPr>
          <w:rFonts w:ascii="Arial" w:hAnsi="Arial" w:cs="Arial"/>
          <w:sz w:val="24"/>
        </w:rPr>
        <w:t xml:space="preserve">Rather than multiple pieces of minimal evidence which  </w:t>
      </w:r>
    </w:p>
    <w:p w:rsidR="00662450" w:rsidRDefault="00662450" w:rsidP="00662450">
      <w:pPr>
        <w:tabs>
          <w:tab w:val="left" w:pos="3990"/>
        </w:tabs>
        <w:rPr>
          <w:rFonts w:ascii="Arial" w:hAnsi="Arial" w:cs="Arial"/>
          <w:sz w:val="24"/>
        </w:rPr>
      </w:pPr>
      <w:r>
        <w:rPr>
          <w:rFonts w:ascii="Arial" w:hAnsi="Arial" w:cs="Arial"/>
          <w:sz w:val="24"/>
        </w:rPr>
        <w:t xml:space="preserve">We would like the full story including health outcomes of 8-10 examples a year. If you are not able to record this level of detail, please use your Purple Star Strategy Handbook Pages to make a brief note to act as an aide memoire and the Link nurse can gather the full story from you verbally on her visits. </w:t>
      </w:r>
    </w:p>
    <w:p w:rsidR="00662450" w:rsidRDefault="00662450" w:rsidP="00662450">
      <w:pPr>
        <w:tabs>
          <w:tab w:val="left" w:pos="3990"/>
        </w:tabs>
        <w:rPr>
          <w:rFonts w:ascii="Arial" w:hAnsi="Arial" w:cs="Arial"/>
          <w:sz w:val="24"/>
        </w:rPr>
      </w:pPr>
      <w:r>
        <w:rPr>
          <w:rFonts w:ascii="Arial" w:hAnsi="Arial" w:cs="Arial"/>
          <w:sz w:val="24"/>
        </w:rPr>
        <w:t xml:space="preserve">EG Dental Service </w:t>
      </w:r>
    </w:p>
    <w:p w:rsidR="00662450" w:rsidRDefault="00662450" w:rsidP="00662450">
      <w:pPr>
        <w:tabs>
          <w:tab w:val="left" w:pos="3990"/>
        </w:tabs>
        <w:rPr>
          <w:rFonts w:ascii="Arial" w:hAnsi="Arial" w:cs="Arial"/>
          <w:sz w:val="24"/>
        </w:rPr>
      </w:pPr>
      <w:r>
        <w:rPr>
          <w:rFonts w:ascii="Arial" w:hAnsi="Arial" w:cs="Arial"/>
          <w:sz w:val="24"/>
        </w:rPr>
        <w:t xml:space="preserve">Instead of </w:t>
      </w:r>
    </w:p>
    <w:p w:rsidR="00662450" w:rsidRDefault="00662450" w:rsidP="00662450">
      <w:pPr>
        <w:tabs>
          <w:tab w:val="left" w:pos="3990"/>
        </w:tabs>
        <w:rPr>
          <w:rFonts w:ascii="Arial" w:hAnsi="Arial" w:cs="Arial"/>
          <w:sz w:val="24"/>
        </w:rPr>
      </w:pPr>
      <w:r>
        <w:rPr>
          <w:rFonts w:ascii="Arial" w:hAnsi="Arial" w:cs="Arial"/>
          <w:sz w:val="24"/>
        </w:rPr>
        <w:t>‘</w:t>
      </w:r>
      <w:proofErr w:type="gramStart"/>
      <w:r>
        <w:rPr>
          <w:rFonts w:ascii="Arial" w:hAnsi="Arial" w:cs="Arial"/>
          <w:sz w:val="24"/>
        </w:rPr>
        <w:t>fed</w:t>
      </w:r>
      <w:proofErr w:type="gramEnd"/>
      <w:r>
        <w:rPr>
          <w:rFonts w:ascii="Arial" w:hAnsi="Arial" w:cs="Arial"/>
          <w:sz w:val="24"/>
        </w:rPr>
        <w:t xml:space="preserve"> biscuits while treating’</w:t>
      </w:r>
    </w:p>
    <w:p w:rsidR="00662450" w:rsidRDefault="00662450" w:rsidP="00662450">
      <w:pPr>
        <w:tabs>
          <w:tab w:val="left" w:pos="3990"/>
        </w:tabs>
        <w:rPr>
          <w:rFonts w:ascii="Arial" w:hAnsi="Arial" w:cs="Arial"/>
          <w:sz w:val="24"/>
        </w:rPr>
      </w:pPr>
      <w:r>
        <w:rPr>
          <w:rFonts w:ascii="Arial" w:hAnsi="Arial" w:cs="Arial"/>
          <w:sz w:val="24"/>
        </w:rPr>
        <w:t xml:space="preserve">We would like </w:t>
      </w:r>
    </w:p>
    <w:p w:rsidR="00662450" w:rsidRDefault="00662450" w:rsidP="00662450">
      <w:pPr>
        <w:tabs>
          <w:tab w:val="left" w:pos="3990"/>
        </w:tabs>
        <w:rPr>
          <w:rFonts w:ascii="Arial" w:hAnsi="Arial" w:cs="Arial"/>
          <w:sz w:val="24"/>
        </w:rPr>
      </w:pPr>
      <w:r>
        <w:rPr>
          <w:rFonts w:ascii="Arial" w:hAnsi="Arial" w:cs="Arial"/>
          <w:sz w:val="24"/>
        </w:rPr>
        <w:t xml:space="preserve">‘Service user would not sit in chair or accept any investigations. Was very anxious and displaying behaviour which indicated potential pain but wasn’t identifiable where the pain was. Fed them biscuits and played music to calm them enough to get a glimpse in the mouth to be able to identify significant tooth decay and possible abscess. This was enough information to be able to make a best interest decision to put them under GA to investigate and treat. Without the time taken, biscuits and music this glimpse would not have been possible and a best interest decision to give a GA with no evidence of dental concerns would have not been possible until we had more evidence the pain was dental related. The person had a GA, dental issues all addressed and they behaviours they exhibited that indicated they were in pain have stopped </w:t>
      </w:r>
    </w:p>
    <w:p w:rsidR="00662450" w:rsidRDefault="00662450" w:rsidP="00662450">
      <w:pPr>
        <w:tabs>
          <w:tab w:val="left" w:pos="3990"/>
        </w:tabs>
        <w:rPr>
          <w:rFonts w:ascii="Arial" w:hAnsi="Arial" w:cs="Arial"/>
          <w:sz w:val="24"/>
        </w:rPr>
      </w:pPr>
    </w:p>
    <w:p w:rsidR="00662450" w:rsidRDefault="00662450" w:rsidP="00662450">
      <w:pPr>
        <w:tabs>
          <w:tab w:val="left" w:pos="3990"/>
        </w:tabs>
        <w:rPr>
          <w:rFonts w:ascii="Arial" w:hAnsi="Arial" w:cs="Arial"/>
          <w:sz w:val="24"/>
        </w:rPr>
      </w:pPr>
      <w:r>
        <w:rPr>
          <w:rFonts w:ascii="Arial" w:hAnsi="Arial" w:cs="Arial"/>
          <w:sz w:val="24"/>
        </w:rPr>
        <w:t xml:space="preserve">EG – GP Example </w:t>
      </w:r>
    </w:p>
    <w:p w:rsidR="00662450" w:rsidRDefault="00662450" w:rsidP="00662450">
      <w:pPr>
        <w:tabs>
          <w:tab w:val="left" w:pos="3990"/>
        </w:tabs>
        <w:rPr>
          <w:rFonts w:ascii="Arial" w:hAnsi="Arial" w:cs="Arial"/>
          <w:sz w:val="24"/>
        </w:rPr>
      </w:pPr>
      <w:r>
        <w:rPr>
          <w:rFonts w:ascii="Arial" w:hAnsi="Arial" w:cs="Arial"/>
          <w:sz w:val="24"/>
        </w:rPr>
        <w:t>Instead of ‘saw in car’</w:t>
      </w:r>
    </w:p>
    <w:p w:rsidR="00662450" w:rsidRDefault="00662450" w:rsidP="00662450">
      <w:pPr>
        <w:tabs>
          <w:tab w:val="left" w:pos="3990"/>
        </w:tabs>
        <w:rPr>
          <w:rFonts w:ascii="Arial" w:hAnsi="Arial" w:cs="Arial"/>
          <w:sz w:val="24"/>
        </w:rPr>
      </w:pPr>
      <w:r>
        <w:rPr>
          <w:rFonts w:ascii="Arial" w:hAnsi="Arial" w:cs="Arial"/>
          <w:sz w:val="24"/>
        </w:rPr>
        <w:t xml:space="preserve">We would like </w:t>
      </w:r>
    </w:p>
    <w:p w:rsidR="00662450" w:rsidRPr="004132B1" w:rsidRDefault="00662450" w:rsidP="00662450">
      <w:pPr>
        <w:tabs>
          <w:tab w:val="left" w:pos="3990"/>
        </w:tabs>
        <w:rPr>
          <w:rFonts w:ascii="Arial" w:hAnsi="Arial" w:cs="Arial"/>
          <w:sz w:val="24"/>
        </w:rPr>
      </w:pPr>
      <w:r>
        <w:rPr>
          <w:rFonts w:ascii="Arial" w:hAnsi="Arial" w:cs="Arial"/>
          <w:sz w:val="24"/>
        </w:rPr>
        <w:t>Person came in anxious and with behaviours indicated they had abdominal pain, they were not going to accept any physical examination. The carer said they had been calm in the minibus with their headphones on so they returned them to the minibus and they calmed. The GP was then able to do enough of a physical examination to diagnose potential constipation. Without moving them to an environment they were calm in this diagnosis would have been delayed.</w:t>
      </w:r>
      <w:r>
        <w:rPr>
          <w:rFonts w:ascii="Arial" w:hAnsi="Arial" w:cs="Arial"/>
          <w:sz w:val="24"/>
        </w:rPr>
        <w:tab/>
      </w:r>
    </w:p>
    <w:p w:rsidR="00362431" w:rsidRPr="00662450" w:rsidRDefault="00450C2F" w:rsidP="00662450">
      <w:pPr>
        <w:tabs>
          <w:tab w:val="left" w:pos="915"/>
        </w:tabs>
        <w:rPr>
          <w:rFonts w:ascii="Arial" w:hAnsi="Arial" w:cs="Arial"/>
          <w:sz w:val="24"/>
        </w:rPr>
      </w:pPr>
    </w:p>
    <w:sectPr w:rsidR="00362431" w:rsidRPr="00662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8C6"/>
    <w:multiLevelType w:val="hybridMultilevel"/>
    <w:tmpl w:val="358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B48C1"/>
    <w:multiLevelType w:val="hybridMultilevel"/>
    <w:tmpl w:val="7ED0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C24A4B"/>
    <w:multiLevelType w:val="hybridMultilevel"/>
    <w:tmpl w:val="C9A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33781C"/>
    <w:multiLevelType w:val="hybridMultilevel"/>
    <w:tmpl w:val="1D1C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12599D"/>
    <w:multiLevelType w:val="hybridMultilevel"/>
    <w:tmpl w:val="69C0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46"/>
    <w:rsid w:val="0007040D"/>
    <w:rsid w:val="004D50E4"/>
    <w:rsid w:val="00515381"/>
    <w:rsid w:val="005A2891"/>
    <w:rsid w:val="00662450"/>
    <w:rsid w:val="00800807"/>
    <w:rsid w:val="009C2900"/>
    <w:rsid w:val="00C6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2hua39a3RAhVJ3CwKHS_wDqMQjRwIBw&amp;url=http://www.clker.com/clipart-purple-running-man.html&amp;psig=AFQjCNGHzsvuG7bWfZYUBAQArhMQQOq6eg&amp;ust=14838057631175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hyperlink" Target="http://www.google.co.uk/url?sa=i&amp;rct=j&amp;q=&amp;esrc=s&amp;source=images&amp;cd=&amp;cad=rja&amp;uact=8&amp;ved=0ahUKEwj2hua39a3RAhVJ3CwKHS_wDqMQjRwIBw&amp;url=http://www.clker.com/clipart-purple-running-man.html&amp;psig=AFQjCNGHzsvuG7bWfZYUBAQArhMQQOq6eg&amp;ust=148380576311758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Gardener</dc:creator>
  <cp:lastModifiedBy>Natasha Collins</cp:lastModifiedBy>
  <cp:revision>5</cp:revision>
  <dcterms:created xsi:type="dcterms:W3CDTF">2017-03-06T15:47:00Z</dcterms:created>
  <dcterms:modified xsi:type="dcterms:W3CDTF">2018-11-12T15:57:00Z</dcterms:modified>
</cp:coreProperties>
</file>